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1258"/>
        <w:gridCol w:w="8035"/>
      </w:tblGrid>
      <w:tr w:rsidR="00C07AE9" w:rsidTr="007B3AA9">
        <w:trPr>
          <w:trHeight w:val="276"/>
        </w:trPr>
        <w:tc>
          <w:tcPr>
            <w:tcW w:w="769" w:type="dxa"/>
          </w:tcPr>
          <w:p w:rsidR="00C07AE9" w:rsidRDefault="00C07A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88900</wp:posOffset>
                      </wp:positionV>
                      <wp:extent cx="457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778621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7pt" to="3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58" w:type="dxa"/>
          </w:tcPr>
          <w:p w:rsidR="00C07AE9" w:rsidRPr="00C07AE9" w:rsidRDefault="00C07AE9" w:rsidP="00C07AE9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105941" wp14:editId="533CD5C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83820</wp:posOffset>
                      </wp:positionV>
                      <wp:extent cx="5148000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CFEE19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pt,6.6pt" to="458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7AE9">
              <w:rPr>
                <w:rFonts w:ascii="Times New Roman" w:hAnsi="Times New Roman" w:cs="Times New Roman"/>
                <w:sz w:val="20"/>
              </w:rPr>
              <w:t>|ICAS2025|</w:t>
            </w:r>
          </w:p>
        </w:tc>
        <w:tc>
          <w:tcPr>
            <w:tcW w:w="8035" w:type="dxa"/>
          </w:tcPr>
          <w:p w:rsidR="00C07AE9" w:rsidRDefault="00C07AE9"/>
        </w:tc>
      </w:tr>
    </w:tbl>
    <w:p w:rsidR="00F07B1E" w:rsidRDefault="00B07B17" w:rsidP="00B07B17">
      <w:pPr>
        <w:jc w:val="center"/>
        <w:rPr>
          <w:rFonts w:ascii="Times New Roman" w:hAnsi="Times New Roman" w:cs="Times New Roman"/>
          <w:b/>
          <w:sz w:val="40"/>
        </w:rPr>
      </w:pPr>
      <w:r w:rsidRPr="00BC0DEE">
        <w:rPr>
          <w:rFonts w:ascii="Times New Roman" w:hAnsi="Times New Roman" w:cs="Times New Roman"/>
          <w:b/>
          <w:sz w:val="40"/>
        </w:rPr>
        <w:t>Adaptive Learning Rate Optimization for Efficient Deep Neural Network Training</w:t>
      </w:r>
    </w:p>
    <w:p w:rsidR="008145D2" w:rsidRPr="008145D2" w:rsidRDefault="008145D2" w:rsidP="008145D2">
      <w:pPr>
        <w:jc w:val="center"/>
        <w:rPr>
          <w:rFonts w:ascii="Times New Roman" w:hAnsi="Times New Roman" w:cs="Times New Roman"/>
          <w:sz w:val="18"/>
          <w:szCs w:val="18"/>
        </w:rPr>
      </w:pPr>
      <w:r w:rsidRPr="008145D2">
        <w:rPr>
          <w:rFonts w:ascii="Times New Roman" w:hAnsi="Times New Roman" w:cs="Times New Roman"/>
          <w:sz w:val="18"/>
          <w:szCs w:val="18"/>
        </w:rPr>
        <w:t>Emily J. Parker</w:t>
      </w:r>
      <w:r w:rsidRPr="008145D2">
        <w:rPr>
          <w:rFonts w:ascii="Times New Roman" w:hAnsi="Times New Roman" w:cs="Times New Roman"/>
          <w:sz w:val="18"/>
          <w:szCs w:val="18"/>
          <w:vertAlign w:val="superscript"/>
        </w:rPr>
        <w:t>1*</w:t>
      </w:r>
      <w:r w:rsidRPr="008145D2">
        <w:rPr>
          <w:rFonts w:ascii="Times New Roman" w:hAnsi="Times New Roman" w:cs="Times New Roman"/>
          <w:sz w:val="18"/>
          <w:szCs w:val="18"/>
        </w:rPr>
        <w:t>, Nathan R. Coleman</w:t>
      </w: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145D2">
        <w:rPr>
          <w:rFonts w:ascii="Times New Roman" w:hAnsi="Times New Roman" w:cs="Times New Roman"/>
          <w:sz w:val="18"/>
          <w:szCs w:val="18"/>
        </w:rPr>
        <w:t>, Olivia M. Bennett</w:t>
      </w: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1</w:t>
      </w:r>
    </w:p>
    <w:p w:rsidR="008145D2" w:rsidRDefault="008145D2" w:rsidP="004B1213">
      <w:pPr>
        <w:jc w:val="center"/>
        <w:rPr>
          <w:rFonts w:ascii="Times New Roman" w:hAnsi="Times New Roman" w:cs="Times New Roman"/>
          <w:sz w:val="18"/>
          <w:szCs w:val="18"/>
        </w:rPr>
      </w:pP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145D2">
        <w:rPr>
          <w:rFonts w:ascii="Times New Roman" w:hAnsi="Times New Roman" w:cs="Times New Roman"/>
          <w:sz w:val="18"/>
          <w:szCs w:val="18"/>
        </w:rPr>
        <w:t>Department of Computer Sc</w:t>
      </w:r>
      <w:r w:rsidR="004B1213">
        <w:rPr>
          <w:rFonts w:ascii="Times New Roman" w:hAnsi="Times New Roman" w:cs="Times New Roman"/>
          <w:sz w:val="18"/>
          <w:szCs w:val="18"/>
        </w:rPr>
        <w:t>ience, Stanford University, USA</w:t>
      </w:r>
      <w:r w:rsidR="004B1213">
        <w:rPr>
          <w:rFonts w:ascii="Times New Roman" w:hAnsi="Times New Roman" w:cs="Times New Roman"/>
          <w:sz w:val="18"/>
          <w:szCs w:val="18"/>
        </w:rPr>
        <w:br/>
      </w:r>
      <w:r w:rsidRPr="004B121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145D2">
        <w:rPr>
          <w:rFonts w:ascii="Times New Roman" w:hAnsi="Times New Roman" w:cs="Times New Roman"/>
          <w:sz w:val="18"/>
          <w:szCs w:val="18"/>
        </w:rPr>
        <w:t>Department of AI and Data Science, MIT, USA</w:t>
      </w:r>
    </w:p>
    <w:p w:rsidR="0078541E" w:rsidRDefault="0078541E" w:rsidP="0078541E">
      <w:pPr>
        <w:rPr>
          <w:rFonts w:ascii="Times New Roman" w:hAnsi="Times New Roman" w:cs="Times New Roman"/>
          <w:sz w:val="18"/>
          <w:szCs w:val="18"/>
        </w:rPr>
        <w:sectPr w:rsidR="0078541E" w:rsidSect="008E732C">
          <w:headerReference w:type="default" r:id="rId6"/>
          <w:footerReference w:type="even" r:id="rId7"/>
          <w:footerReference w:type="default" r:id="rId8"/>
          <w:pgSz w:w="12240" w:h="15840"/>
          <w:pgMar w:top="1134" w:right="1134" w:bottom="1134" w:left="1134" w:header="431" w:footer="431" w:gutter="0"/>
          <w:cols w:space="720"/>
          <w:docGrid w:linePitch="360"/>
        </w:sectPr>
      </w:pPr>
    </w:p>
    <w:p w:rsidR="0078541E" w:rsidRDefault="0078541E" w:rsidP="0078541E">
      <w:pPr>
        <w:rPr>
          <w:rFonts w:ascii="Times New Roman" w:hAnsi="Times New Roman" w:cs="Times New Roman"/>
          <w:sz w:val="18"/>
          <w:szCs w:val="18"/>
        </w:rPr>
        <w:sectPr w:rsidR="0078541E" w:rsidSect="0078541E">
          <w:type w:val="continuous"/>
          <w:pgSz w:w="12240" w:h="15840"/>
          <w:pgMar w:top="1134" w:right="1134" w:bottom="1134" w:left="1134" w:header="431" w:footer="431" w:gutter="0"/>
          <w:cols w:num="2" w:space="720"/>
          <w:docGrid w:linePitch="360"/>
        </w:sectPr>
      </w:pPr>
    </w:p>
    <w:p w:rsidR="00835471" w:rsidRDefault="0078541E" w:rsidP="00835471">
      <w:pPr>
        <w:shd w:val="clear" w:color="auto" w:fill="F2F2F2" w:themeFill="background1" w:themeFillShade="F2"/>
        <w:ind w:right="90"/>
        <w:jc w:val="both"/>
        <w:rPr>
          <w:rFonts w:ascii="Times New Roman" w:hAnsi="Times New Roman" w:cs="Times New Roman"/>
          <w:sz w:val="18"/>
          <w:szCs w:val="20"/>
        </w:rPr>
      </w:pPr>
      <w:r w:rsidRPr="00E01AA5">
        <w:rPr>
          <w:rFonts w:ascii="Times New Roman" w:hAnsi="Times New Roman" w:cs="Times New Roman"/>
          <w:b/>
          <w:sz w:val="18"/>
          <w:szCs w:val="20"/>
        </w:rPr>
        <w:t>Abstract:</w:t>
      </w:r>
      <w:r w:rsidRPr="00E01AA5">
        <w:rPr>
          <w:rFonts w:ascii="Times New Roman" w:hAnsi="Times New Roman" w:cs="Times New Roman"/>
          <w:sz w:val="18"/>
          <w:szCs w:val="20"/>
        </w:rPr>
        <w:t xml:space="preserve"> The efficiency and stability of training deep neural networks are significantly influenced by the choice of learning rate and its scheduling. Traditional optimizers like Stochastic Gradient Descent (SGD), Adam,</w:t>
      </w:r>
      <w:r w:rsidR="00835471"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 w:rsidR="00835471">
        <w:rPr>
          <w:rFonts w:ascii="Times New Roman" w:hAnsi="Times New Roman" w:cs="Times New Roman"/>
          <w:sz w:val="18"/>
          <w:szCs w:val="20"/>
        </w:rPr>
        <w:t>RMSprop</w:t>
      </w:r>
      <w:proofErr w:type="spellEnd"/>
      <w:r w:rsidR="00835471">
        <w:rPr>
          <w:rFonts w:ascii="Times New Roman" w:hAnsi="Times New Roman" w:cs="Times New Roman"/>
          <w:sz w:val="18"/>
          <w:szCs w:val="20"/>
        </w:rPr>
        <w:t xml:space="preserve"> offer different ap</w:t>
      </w:r>
      <w:r w:rsidRPr="00E01AA5">
        <w:rPr>
          <w:rFonts w:ascii="Times New Roman" w:hAnsi="Times New Roman" w:cs="Times New Roman"/>
          <w:sz w:val="18"/>
          <w:szCs w:val="20"/>
        </w:rPr>
        <w:t xml:space="preserve">proaches to learning rate adaptation; however, they often require manual </w:t>
      </w:r>
      <w:r w:rsidR="00835471">
        <w:rPr>
          <w:rFonts w:ascii="Times New Roman" w:hAnsi="Times New Roman" w:cs="Times New Roman"/>
          <w:sz w:val="18"/>
          <w:szCs w:val="20"/>
        </w:rPr>
        <w:t>tuning or rely on global heuris</w:t>
      </w:r>
      <w:r w:rsidRPr="00E01AA5">
        <w:rPr>
          <w:rFonts w:ascii="Times New Roman" w:hAnsi="Times New Roman" w:cs="Times New Roman"/>
          <w:sz w:val="18"/>
          <w:szCs w:val="20"/>
        </w:rPr>
        <w:t>tics that may not generalize well across diverse datasets. In this p</w:t>
      </w:r>
      <w:r w:rsidR="00835471">
        <w:rPr>
          <w:rFonts w:ascii="Times New Roman" w:hAnsi="Times New Roman" w:cs="Times New Roman"/>
          <w:sz w:val="18"/>
          <w:szCs w:val="20"/>
        </w:rPr>
        <w:t>aper, we introduce a novel adap</w:t>
      </w:r>
      <w:r w:rsidRPr="00E01AA5">
        <w:rPr>
          <w:rFonts w:ascii="Times New Roman" w:hAnsi="Times New Roman" w:cs="Times New Roman"/>
          <w:sz w:val="18"/>
          <w:szCs w:val="20"/>
        </w:rPr>
        <w:t xml:space="preserve">tive optimization technique called Dynamic Thresh old Descent (DTD), which automatically adjusts the learning rate at each training step based on local gradient behavior and batch-level variance. </w:t>
      </w:r>
      <w:r w:rsidRPr="00E01AA5">
        <w:rPr>
          <w:rFonts w:ascii="Times New Roman" w:hAnsi="Times New Roman" w:cs="Times New Roman"/>
          <w:sz w:val="18"/>
          <w:szCs w:val="20"/>
        </w:rPr>
        <w:br/>
        <w:t>Unlike fixed s</w:t>
      </w:r>
      <w:r w:rsidR="00450DF7">
        <w:rPr>
          <w:rFonts w:ascii="Times New Roman" w:hAnsi="Times New Roman" w:cs="Times New Roman"/>
          <w:sz w:val="18"/>
          <w:szCs w:val="20"/>
        </w:rPr>
        <w:t>chedules or momentum-based meth</w:t>
      </w:r>
      <w:r w:rsidRPr="00E01AA5">
        <w:rPr>
          <w:rFonts w:ascii="Times New Roman" w:hAnsi="Times New Roman" w:cs="Times New Roman"/>
          <w:sz w:val="18"/>
          <w:szCs w:val="20"/>
        </w:rPr>
        <w:t>ods, DTD leverages real-time statistical analysis of gradient norms to determine whether to increase or decrease the lea</w:t>
      </w:r>
      <w:r w:rsidR="00E01AA5" w:rsidRPr="00E01AA5">
        <w:rPr>
          <w:rFonts w:ascii="Times New Roman" w:hAnsi="Times New Roman" w:cs="Times New Roman"/>
          <w:sz w:val="18"/>
          <w:szCs w:val="20"/>
        </w:rPr>
        <w:t>rning rate. This dynamic adjust</w:t>
      </w:r>
      <w:r w:rsidRPr="00E01AA5">
        <w:rPr>
          <w:rFonts w:ascii="Times New Roman" w:hAnsi="Times New Roman" w:cs="Times New Roman"/>
          <w:sz w:val="18"/>
          <w:szCs w:val="20"/>
        </w:rPr>
        <w:t>ment reduces sensitivity to initial hyperparameter settings and impr</w:t>
      </w:r>
      <w:r w:rsidR="00E01AA5" w:rsidRPr="00E01AA5">
        <w:rPr>
          <w:rFonts w:ascii="Times New Roman" w:hAnsi="Times New Roman" w:cs="Times New Roman"/>
          <w:sz w:val="18"/>
          <w:szCs w:val="20"/>
        </w:rPr>
        <w:t>oves convergence rates, particu</w:t>
      </w:r>
      <w:r w:rsidRPr="00E01AA5">
        <w:rPr>
          <w:rFonts w:ascii="Times New Roman" w:hAnsi="Times New Roman" w:cs="Times New Roman"/>
          <w:sz w:val="18"/>
          <w:szCs w:val="20"/>
        </w:rPr>
        <w:t>larly in early training stages. We evaluate DTD on three standard datasets: MNIST, Fashion-MNIST, and CIFAR-10, using convolutional neural networks of moderate depth. Experimental results show that DTD</w:t>
      </w:r>
      <w:r w:rsidR="00835471">
        <w:rPr>
          <w:rFonts w:ascii="Times New Roman" w:hAnsi="Times New Roman" w:cs="Times New Roman"/>
          <w:sz w:val="18"/>
          <w:szCs w:val="20"/>
        </w:rPr>
        <w:t xml:space="preserve"> </w:t>
      </w:r>
      <w:r w:rsidRPr="00E01AA5">
        <w:rPr>
          <w:rFonts w:ascii="Times New Roman" w:hAnsi="Times New Roman" w:cs="Times New Roman"/>
          <w:sz w:val="18"/>
          <w:szCs w:val="20"/>
        </w:rPr>
        <w:t>achieves faster convergence while maintaining comparable or bet</w:t>
      </w:r>
      <w:r w:rsidR="00E01AA5" w:rsidRPr="00E01AA5">
        <w:rPr>
          <w:rFonts w:ascii="Times New Roman" w:hAnsi="Times New Roman" w:cs="Times New Roman"/>
          <w:sz w:val="18"/>
          <w:szCs w:val="20"/>
        </w:rPr>
        <w:t xml:space="preserve">ter accuracy </w:t>
      </w:r>
      <w:r w:rsidRPr="00E01AA5">
        <w:rPr>
          <w:rFonts w:ascii="Times New Roman" w:hAnsi="Times New Roman" w:cs="Times New Roman"/>
          <w:sz w:val="18"/>
          <w:szCs w:val="20"/>
        </w:rPr>
        <w:t xml:space="preserve">than existing optimizers. </w:t>
      </w:r>
    </w:p>
    <w:p w:rsidR="009E2D44" w:rsidRDefault="0078541E" w:rsidP="00835471">
      <w:pPr>
        <w:shd w:val="clear" w:color="auto" w:fill="F2F2F2" w:themeFill="background1" w:themeFillShade="F2"/>
        <w:ind w:right="90"/>
        <w:jc w:val="both"/>
        <w:rPr>
          <w:rFonts w:ascii="Times New Roman" w:hAnsi="Times New Roman" w:cs="Times New Roman"/>
          <w:sz w:val="18"/>
          <w:szCs w:val="20"/>
        </w:rPr>
      </w:pPr>
      <w:r w:rsidRPr="00E01AA5">
        <w:rPr>
          <w:rFonts w:ascii="Times New Roman" w:hAnsi="Times New Roman" w:cs="Times New Roman"/>
          <w:sz w:val="18"/>
          <w:szCs w:val="20"/>
        </w:rPr>
        <w:t>Our approach offers an intuitive mechanism to adapt learning rate</w:t>
      </w:r>
      <w:r w:rsidR="00E01AA5" w:rsidRPr="00E01AA5">
        <w:rPr>
          <w:rFonts w:ascii="Times New Roman" w:hAnsi="Times New Roman" w:cs="Times New Roman"/>
          <w:sz w:val="18"/>
          <w:szCs w:val="20"/>
        </w:rPr>
        <w:t>s based on the training environ</w:t>
      </w:r>
      <w:r w:rsidRPr="00E01AA5">
        <w:rPr>
          <w:rFonts w:ascii="Times New Roman" w:hAnsi="Times New Roman" w:cs="Times New Roman"/>
          <w:sz w:val="18"/>
          <w:szCs w:val="20"/>
        </w:rPr>
        <w:t>ment’s evolving characteristics, making it suitable for both low-resource</w:t>
      </w:r>
      <w:r w:rsidR="00E01AA5" w:rsidRPr="00E01AA5">
        <w:rPr>
          <w:rFonts w:ascii="Times New Roman" w:hAnsi="Times New Roman" w:cs="Times New Roman"/>
          <w:sz w:val="18"/>
          <w:szCs w:val="20"/>
        </w:rPr>
        <w:t xml:space="preserve"> and large-scale scenarios. Fur</w:t>
      </w:r>
      <w:r w:rsidRPr="00E01AA5">
        <w:rPr>
          <w:rFonts w:ascii="Times New Roman" w:hAnsi="Times New Roman" w:cs="Times New Roman"/>
          <w:sz w:val="18"/>
          <w:szCs w:val="20"/>
        </w:rPr>
        <w:t>thermore, we dem</w:t>
      </w:r>
      <w:r w:rsidR="00E01AA5" w:rsidRPr="00E01AA5">
        <w:rPr>
          <w:rFonts w:ascii="Times New Roman" w:hAnsi="Times New Roman" w:cs="Times New Roman"/>
          <w:sz w:val="18"/>
          <w:szCs w:val="20"/>
        </w:rPr>
        <w:t>onstrate that DTD maintains sta</w:t>
      </w:r>
      <w:r w:rsidRPr="00E01AA5">
        <w:rPr>
          <w:rFonts w:ascii="Times New Roman" w:hAnsi="Times New Roman" w:cs="Times New Roman"/>
          <w:sz w:val="18"/>
          <w:szCs w:val="20"/>
        </w:rPr>
        <w:t>bility even in the presence of noisy gradients, which is a common challenge in real-world data. Overall, the proposed optimizer represents a step toward more autonomo</w:t>
      </w:r>
      <w:r w:rsidR="001F7194">
        <w:rPr>
          <w:rFonts w:ascii="Times New Roman" w:hAnsi="Times New Roman" w:cs="Times New Roman"/>
          <w:sz w:val="18"/>
          <w:szCs w:val="20"/>
        </w:rPr>
        <w:t>us and context-aware train</w:t>
      </w:r>
      <w:r w:rsidRPr="00E01AA5">
        <w:rPr>
          <w:rFonts w:ascii="Times New Roman" w:hAnsi="Times New Roman" w:cs="Times New Roman"/>
          <w:sz w:val="18"/>
          <w:szCs w:val="20"/>
        </w:rPr>
        <w:t>ing strategies in deep learning. This work lays the foundation for future explorations in adaptive training, especially in domains that demand robustness, such as healthca</w:t>
      </w:r>
      <w:r w:rsidR="00E01AA5" w:rsidRPr="00E01AA5">
        <w:rPr>
          <w:rFonts w:ascii="Times New Roman" w:hAnsi="Times New Roman" w:cs="Times New Roman"/>
          <w:sz w:val="18"/>
          <w:szCs w:val="20"/>
        </w:rPr>
        <w:t>re, finance, and autonomous sys</w:t>
      </w:r>
      <w:r w:rsidRPr="00E01AA5">
        <w:rPr>
          <w:rFonts w:ascii="Times New Roman" w:hAnsi="Times New Roman" w:cs="Times New Roman"/>
          <w:sz w:val="18"/>
          <w:szCs w:val="20"/>
        </w:rPr>
        <w:t xml:space="preserve">tems. </w:t>
      </w:r>
      <w:r w:rsidRPr="00E01AA5">
        <w:rPr>
          <w:rFonts w:ascii="Times New Roman" w:hAnsi="Times New Roman" w:cs="Times New Roman"/>
          <w:sz w:val="18"/>
          <w:szCs w:val="20"/>
        </w:rPr>
        <w:br/>
      </w:r>
      <w:r w:rsidRPr="00E01AA5">
        <w:rPr>
          <w:rFonts w:ascii="Times New Roman" w:hAnsi="Times New Roman" w:cs="Times New Roman"/>
          <w:b/>
          <w:sz w:val="18"/>
          <w:szCs w:val="20"/>
        </w:rPr>
        <w:t>Keywords:</w:t>
      </w:r>
      <w:r w:rsidRPr="00E01AA5">
        <w:rPr>
          <w:rFonts w:ascii="Times New Roman" w:hAnsi="Times New Roman" w:cs="Times New Roman"/>
          <w:sz w:val="18"/>
          <w:szCs w:val="20"/>
        </w:rPr>
        <w:t xml:space="preserve"> adaptive learning rate, deep learning, optimizer, gradient descent, convergence</w:t>
      </w:r>
    </w:p>
    <w:p w:rsidR="00084A77" w:rsidRDefault="00835471" w:rsidP="009E2D44">
      <w:pPr>
        <w:ind w:right="9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58A8396" wp14:editId="1DE6EA5C">
                <wp:simplePos x="0" y="0"/>
                <wp:positionH relativeFrom="column">
                  <wp:posOffset>-8437</wp:posOffset>
                </wp:positionH>
                <wp:positionV relativeFrom="paragraph">
                  <wp:posOffset>227965</wp:posOffset>
                </wp:positionV>
                <wp:extent cx="2857500" cy="990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90600"/>
                          <a:chOff x="0" y="0"/>
                          <a:chExt cx="2847975" cy="913809"/>
                        </a:xfrm>
                      </wpg:grpSpPr>
                      <wps:wsp>
                        <wps:cNvPr id="4" name="Round Same Side Corner Rectangle 4"/>
                        <wps:cNvSpPr/>
                        <wps:spPr>
                          <a:xfrm>
                            <a:off x="0" y="0"/>
                            <a:ext cx="2847975" cy="200025"/>
                          </a:xfrm>
                          <a:prstGeom prst="round2Same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1FCB" w:rsidRPr="00411FCB" w:rsidRDefault="00411FCB" w:rsidP="00411FC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11FC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Author Note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525" y="209550"/>
                            <a:ext cx="2835275" cy="7042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1FCB" w:rsidRPr="00411FCB" w:rsidRDefault="00411FCB" w:rsidP="00411FC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411F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This research was supported by the National Center for Advanced Computing under Grant No. NCAC-23-AI-004. The authors declare no conflict of interest.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A8396" id="Group 7" o:spid="_x0000_s1026" style="position:absolute;left:0;text-align:left;margin-left:-.65pt;margin-top:17.95pt;width:225pt;height:78pt;z-index:-251653120;mso-width-relative:margin;mso-height-relative:margin" coordsize="28479,9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">
                <v:shape id="Round Same Side Corner Rectangle 4" o:spid="_x0000_s1027" style="position:absolute;width:28479;height:2000;visibility:visible;mso-wrap-style:square;v-text-anchor:middle" coordsize="2847975,200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" adj="-11796480,,5400" path="m33338,l2814637,v18412,,33338,14926,33338,33338l2847975,200025r,l,200025r,l,33338c,14926,14926,,33338,xe" fillcolor="#aeaaaa [2414]" strokecolor="#e7e6e6 [3214]" strokeweight="1pt">
                  <v:stroke joinstyle="miter"/>
                  <v:formulas/>
                  <v:path arrowok="t" o:connecttype="custom" o:connectlocs="33338,0;2814637,0;2847975,33338;2847975,200025;2847975,200025;0,200025;0,200025;0,33338;33338,0" o:connectangles="0,0,0,0,0,0,0,0,0" textboxrect="0,0,2847975,200025"/>
                  <v:textbox>
                    <w:txbxContent>
                      <w:p w:rsidR="00411FCB" w:rsidRPr="00411FCB" w:rsidRDefault="00411FCB" w:rsidP="00411FC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11FC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Author Note</w:t>
                        </w:r>
                      </w:p>
                    </w:txbxContent>
                  </v:textbox>
                </v:shape>
                <v:rect id="Rectangle 5" o:spid="_x0000_s1028" style="position:absolute;left:95;top:2095;width:28353;height: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" filled="f" strokecolor="#e7e6e6 [3214]" strokeweight="1pt">
                  <v:textbox>
                    <w:txbxContent>
                      <w:p w:rsidR="00411FCB" w:rsidRPr="00411FCB" w:rsidRDefault="00411FCB" w:rsidP="00411FCB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11FCB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This research was supported by the National Center for Advanced Computing under Grant No. NCAC-23-AI-004. The authors declare no conflict of interest.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1F7194" w:rsidRPr="001F7194" w:rsidRDefault="001F7194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20"/>
        </w:rPr>
        <w:br w:type="column"/>
      </w:r>
      <w:r w:rsidRPr="001F7194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:rsidR="001E4260" w:rsidRDefault="001F719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1F7194">
        <w:rPr>
          <w:rFonts w:ascii="Times New Roman" w:hAnsi="Times New Roman" w:cs="Times New Roman"/>
          <w:sz w:val="18"/>
          <w:szCs w:val="18"/>
        </w:rPr>
        <w:t>Deep neural</w:t>
      </w:r>
      <w:bookmarkStart w:id="0" w:name="_GoBack"/>
      <w:bookmarkEnd w:id="0"/>
      <w:r w:rsidRPr="001F7194">
        <w:rPr>
          <w:rFonts w:ascii="Times New Roman" w:hAnsi="Times New Roman" w:cs="Times New Roman"/>
          <w:sz w:val="18"/>
          <w:szCs w:val="18"/>
        </w:rPr>
        <w:t xml:space="preserve"> networks have become the foundation of many state-of-the-art </w:t>
      </w:r>
      <w:r w:rsidR="00835471">
        <w:rPr>
          <w:rFonts w:ascii="Times New Roman" w:hAnsi="Times New Roman" w:cs="Times New Roman"/>
          <w:sz w:val="18"/>
          <w:szCs w:val="18"/>
        </w:rPr>
        <w:t>solutions in fields such as com</w:t>
      </w:r>
      <w:r w:rsidRPr="001F7194">
        <w:rPr>
          <w:rFonts w:ascii="Times New Roman" w:hAnsi="Times New Roman" w:cs="Times New Roman"/>
          <w:sz w:val="18"/>
          <w:szCs w:val="18"/>
        </w:rPr>
        <w:t>puter vision, natural language processing, and time series forecasting. A crucial factor that determines the efficiency and performance of these networks during training is the learn</w:t>
      </w:r>
      <w:r w:rsidR="00835471">
        <w:rPr>
          <w:rFonts w:ascii="Times New Roman" w:hAnsi="Times New Roman" w:cs="Times New Roman"/>
          <w:sz w:val="18"/>
          <w:szCs w:val="18"/>
        </w:rPr>
        <w:t>ing rate—the parameter that con</w:t>
      </w:r>
      <w:r w:rsidRPr="001F7194">
        <w:rPr>
          <w:rFonts w:ascii="Times New Roman" w:hAnsi="Times New Roman" w:cs="Times New Roman"/>
          <w:sz w:val="18"/>
          <w:szCs w:val="18"/>
        </w:rPr>
        <w:t xml:space="preserve">trols the step size of </w:t>
      </w:r>
      <w:r w:rsidR="00835471">
        <w:rPr>
          <w:rFonts w:ascii="Times New Roman" w:hAnsi="Times New Roman" w:cs="Times New Roman"/>
          <w:sz w:val="18"/>
          <w:szCs w:val="18"/>
        </w:rPr>
        <w:t>weight updates. Selecting an ap</w:t>
      </w:r>
      <w:r w:rsidRPr="001F7194">
        <w:rPr>
          <w:rFonts w:ascii="Times New Roman" w:hAnsi="Times New Roman" w:cs="Times New Roman"/>
          <w:sz w:val="18"/>
          <w:szCs w:val="18"/>
        </w:rPr>
        <w:t>propriate learning rate is often a challenging task, as it requires</w:t>
      </w:r>
      <w:r w:rsidR="00835471">
        <w:rPr>
          <w:rFonts w:ascii="Times New Roman" w:hAnsi="Times New Roman" w:cs="Times New Roman"/>
          <w:sz w:val="18"/>
          <w:szCs w:val="18"/>
        </w:rPr>
        <w:t xml:space="preserve"> balancing between convergence s</w:t>
      </w:r>
      <w:r w:rsidRPr="001F7194">
        <w:rPr>
          <w:rFonts w:ascii="Times New Roman" w:hAnsi="Times New Roman" w:cs="Times New Roman"/>
          <w:sz w:val="18"/>
          <w:szCs w:val="18"/>
        </w:rPr>
        <w:t xml:space="preserve">peed and training stability. A rate that is too high may cause the model to diverge, while one that is too low can lead to excessively long training times or convergence to suboptimal minima. </w:t>
      </w:r>
    </w:p>
    <w:p w:rsidR="00A67B00" w:rsidRDefault="001F719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1F7194">
        <w:rPr>
          <w:rFonts w:ascii="Times New Roman" w:hAnsi="Times New Roman" w:cs="Times New Roman"/>
          <w:sz w:val="18"/>
          <w:szCs w:val="18"/>
        </w:rPr>
        <w:t xml:space="preserve">To address this, a variety of adaptive optimization algorithms have been proposed, including </w:t>
      </w:r>
      <w:proofErr w:type="spellStart"/>
      <w:r w:rsidRPr="001F7194">
        <w:rPr>
          <w:rFonts w:ascii="Times New Roman" w:hAnsi="Times New Roman" w:cs="Times New Roman"/>
          <w:sz w:val="18"/>
          <w:szCs w:val="18"/>
        </w:rPr>
        <w:t>RMSprop</w:t>
      </w:r>
      <w:proofErr w:type="spellEnd"/>
      <w:r w:rsidRPr="001F719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194">
        <w:rPr>
          <w:rFonts w:ascii="Times New Roman" w:hAnsi="Times New Roman" w:cs="Times New Roman"/>
          <w:sz w:val="18"/>
          <w:szCs w:val="18"/>
        </w:rPr>
        <w:t>Tieleman</w:t>
      </w:r>
      <w:proofErr w:type="spellEnd"/>
      <w:r w:rsidRPr="001F7194">
        <w:rPr>
          <w:rFonts w:ascii="Times New Roman" w:hAnsi="Times New Roman" w:cs="Times New Roman"/>
          <w:sz w:val="18"/>
          <w:szCs w:val="18"/>
        </w:rPr>
        <w:t xml:space="preserve"> &amp; Hinton, 2012), Adam (</w:t>
      </w:r>
      <w:proofErr w:type="spellStart"/>
      <w:r w:rsidRPr="001F7194">
        <w:rPr>
          <w:rFonts w:ascii="Times New Roman" w:hAnsi="Times New Roman" w:cs="Times New Roman"/>
          <w:sz w:val="18"/>
          <w:szCs w:val="18"/>
        </w:rPr>
        <w:t>Kingma</w:t>
      </w:r>
      <w:proofErr w:type="spellEnd"/>
      <w:r w:rsidRPr="001F7194">
        <w:rPr>
          <w:rFonts w:ascii="Times New Roman" w:hAnsi="Times New Roman" w:cs="Times New Roman"/>
          <w:sz w:val="18"/>
          <w:szCs w:val="18"/>
        </w:rPr>
        <w:t xml:space="preserve"> &amp; Ba, 2015), and </w:t>
      </w:r>
      <w:proofErr w:type="spellStart"/>
      <w:r w:rsidRPr="001F7194">
        <w:rPr>
          <w:rFonts w:ascii="Times New Roman" w:hAnsi="Times New Roman" w:cs="Times New Roman"/>
          <w:sz w:val="18"/>
          <w:szCs w:val="18"/>
        </w:rPr>
        <w:t>AdaGrad</w:t>
      </w:r>
      <w:proofErr w:type="spellEnd"/>
      <w:r w:rsidRPr="001F7194">
        <w:rPr>
          <w:rFonts w:ascii="Times New Roman" w:hAnsi="Times New Roman" w:cs="Times New Roman"/>
          <w:sz w:val="18"/>
          <w:szCs w:val="18"/>
        </w:rPr>
        <w:t>. These methods adjust learning rates during training using statistics such as gradient magnitudes or moving averages (Garcia &amp; Rao, 2020; Nguyen &amp; Brooks, 2020). While effective in many cases, these optimizer</w:t>
      </w:r>
      <w:r w:rsidR="00835471">
        <w:rPr>
          <w:rFonts w:ascii="Times New Roman" w:hAnsi="Times New Roman" w:cs="Times New Roman"/>
          <w:sz w:val="18"/>
          <w:szCs w:val="18"/>
        </w:rPr>
        <w:t>s typically apply global adjust</w:t>
      </w:r>
      <w:r w:rsidRPr="001F7194">
        <w:rPr>
          <w:rFonts w:ascii="Times New Roman" w:hAnsi="Times New Roman" w:cs="Times New Roman"/>
          <w:sz w:val="18"/>
          <w:szCs w:val="18"/>
        </w:rPr>
        <w:t>ments across all param</w:t>
      </w:r>
      <w:r w:rsidR="00835471">
        <w:rPr>
          <w:rFonts w:ascii="Times New Roman" w:hAnsi="Times New Roman" w:cs="Times New Roman"/>
          <w:sz w:val="18"/>
          <w:szCs w:val="18"/>
        </w:rPr>
        <w:t>eters and rely on fixed hyperpa</w:t>
      </w:r>
      <w:r w:rsidRPr="001F7194">
        <w:rPr>
          <w:rFonts w:ascii="Times New Roman" w:hAnsi="Times New Roman" w:cs="Times New Roman"/>
          <w:sz w:val="18"/>
          <w:szCs w:val="18"/>
        </w:rPr>
        <w:t xml:space="preserve">rameter settings, which may not respond adequately to local or dynamic changes in the training data. </w:t>
      </w:r>
    </w:p>
    <w:p w:rsidR="00A67B00" w:rsidRDefault="001F719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1F7194">
        <w:rPr>
          <w:rFonts w:ascii="Times New Roman" w:hAnsi="Times New Roman" w:cs="Times New Roman"/>
          <w:sz w:val="18"/>
          <w:szCs w:val="18"/>
        </w:rPr>
        <w:t xml:space="preserve">Recent research also explores learning-rate-free methods (Lee &amp; Venkatesh, 2022) and real-time feedback-driven optimizers (Fernandez &amp; Kim, 2021; Murthy &amp; Ahmed, 2021), which introduce dynamic adaptation mechanisms. Lightweight and embedded friendly optimization </w:t>
      </w:r>
      <w:r w:rsidR="00835471">
        <w:rPr>
          <w:rFonts w:ascii="Times New Roman" w:hAnsi="Times New Roman" w:cs="Times New Roman"/>
          <w:sz w:val="18"/>
          <w:szCs w:val="18"/>
        </w:rPr>
        <w:t>approaches are becoming increas</w:t>
      </w:r>
      <w:r w:rsidRPr="001F7194">
        <w:rPr>
          <w:rFonts w:ascii="Times New Roman" w:hAnsi="Times New Roman" w:cs="Times New Roman"/>
          <w:sz w:val="18"/>
          <w:szCs w:val="18"/>
        </w:rPr>
        <w:t>ingly relevant a</w:t>
      </w:r>
      <w:r w:rsidR="00835471">
        <w:rPr>
          <w:rFonts w:ascii="Times New Roman" w:hAnsi="Times New Roman" w:cs="Times New Roman"/>
          <w:sz w:val="18"/>
          <w:szCs w:val="18"/>
        </w:rPr>
        <w:t>s well (Wang &amp; Singh, 2022), en</w:t>
      </w:r>
      <w:r w:rsidRPr="001F7194">
        <w:rPr>
          <w:rFonts w:ascii="Times New Roman" w:hAnsi="Times New Roman" w:cs="Times New Roman"/>
          <w:sz w:val="18"/>
          <w:szCs w:val="18"/>
        </w:rPr>
        <w:t>abling robust performance even on low-resource de vices. Other work has emphasized variance-sensitive adaptation to improv</w:t>
      </w:r>
      <w:r w:rsidR="00835471">
        <w:rPr>
          <w:rFonts w:ascii="Times New Roman" w:hAnsi="Times New Roman" w:cs="Times New Roman"/>
          <w:sz w:val="18"/>
          <w:szCs w:val="18"/>
        </w:rPr>
        <w:t>e performance under noisy gradi</w:t>
      </w:r>
      <w:r w:rsidRPr="001F7194">
        <w:rPr>
          <w:rFonts w:ascii="Times New Roman" w:hAnsi="Times New Roman" w:cs="Times New Roman"/>
          <w:sz w:val="18"/>
          <w:szCs w:val="18"/>
        </w:rPr>
        <w:t xml:space="preserve">ents (Zhou &amp; Patel, 2022). </w:t>
      </w:r>
    </w:p>
    <w:p w:rsidR="00A67B00" w:rsidRDefault="001F719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1F7194">
        <w:rPr>
          <w:rFonts w:ascii="Times New Roman" w:hAnsi="Times New Roman" w:cs="Times New Roman"/>
          <w:sz w:val="18"/>
          <w:szCs w:val="18"/>
        </w:rPr>
        <w:t>In this paper, we propose a</w:t>
      </w:r>
      <w:r w:rsidR="00835471">
        <w:rPr>
          <w:rFonts w:ascii="Times New Roman" w:hAnsi="Times New Roman" w:cs="Times New Roman"/>
          <w:sz w:val="18"/>
          <w:szCs w:val="18"/>
        </w:rPr>
        <w:t xml:space="preserve"> novel optimization strat</w:t>
      </w:r>
      <w:r w:rsidRPr="001F7194">
        <w:rPr>
          <w:rFonts w:ascii="Times New Roman" w:hAnsi="Times New Roman" w:cs="Times New Roman"/>
          <w:sz w:val="18"/>
          <w:szCs w:val="18"/>
        </w:rPr>
        <w:t>egy called Dynamic Threshold Descent (DTD), which dynamically adjusts the learning rate at each training step based on batch-wise gradient behavior. Unlike traditional optimize</w:t>
      </w:r>
      <w:r w:rsidR="00835471">
        <w:rPr>
          <w:rFonts w:ascii="Times New Roman" w:hAnsi="Times New Roman" w:cs="Times New Roman"/>
          <w:sz w:val="18"/>
          <w:szCs w:val="18"/>
        </w:rPr>
        <w:t>rs that depend on momentum or f</w:t>
      </w:r>
      <w:r w:rsidRPr="001F7194">
        <w:rPr>
          <w:rFonts w:ascii="Times New Roman" w:hAnsi="Times New Roman" w:cs="Times New Roman"/>
          <w:sz w:val="18"/>
          <w:szCs w:val="18"/>
        </w:rPr>
        <w:t xml:space="preserve">ixed decay schedules, DTD uses local gradient variance to make real-time updates. This allows it to respond quickly to stable training phases while dampening in stability when needed. </w:t>
      </w:r>
    </w:p>
    <w:p w:rsidR="001F7194" w:rsidRDefault="001F719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1F7194">
        <w:rPr>
          <w:rFonts w:ascii="Times New Roman" w:hAnsi="Times New Roman" w:cs="Times New Roman"/>
          <w:sz w:val="18"/>
          <w:szCs w:val="18"/>
        </w:rPr>
        <w:t xml:space="preserve">We evaluate DTD on multiple benchmark datasets using convolutional neural networks and compare its performance against standard optimizers. Our results show that DTD </w:t>
      </w:r>
      <w:r w:rsidRPr="001F7194">
        <w:rPr>
          <w:rFonts w:ascii="Times New Roman" w:hAnsi="Times New Roman" w:cs="Times New Roman"/>
          <w:sz w:val="18"/>
          <w:szCs w:val="18"/>
        </w:rPr>
        <w:lastRenderedPageBreak/>
        <w:t>achieves faster convergence with competitive accuracy, maki</w:t>
      </w:r>
      <w:r w:rsidR="00835471">
        <w:rPr>
          <w:rFonts w:ascii="Times New Roman" w:hAnsi="Times New Roman" w:cs="Times New Roman"/>
          <w:sz w:val="18"/>
          <w:szCs w:val="18"/>
        </w:rPr>
        <w:t>ng it a practical option for ro</w:t>
      </w:r>
      <w:r w:rsidRPr="001F7194">
        <w:rPr>
          <w:rFonts w:ascii="Times New Roman" w:hAnsi="Times New Roman" w:cs="Times New Roman"/>
          <w:sz w:val="18"/>
          <w:szCs w:val="18"/>
        </w:rPr>
        <w:t>bust and efficient deep learning.</w:t>
      </w:r>
    </w:p>
    <w:p w:rsidR="001F7194" w:rsidRDefault="001F719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A67B00" w:rsidRPr="00A67B00" w:rsidRDefault="00A67B00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00">
        <w:rPr>
          <w:rFonts w:ascii="Times New Roman" w:hAnsi="Times New Roman" w:cs="Times New Roman"/>
          <w:b/>
          <w:sz w:val="24"/>
          <w:szCs w:val="24"/>
        </w:rPr>
        <w:t xml:space="preserve">Related Work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>The optimization of deep neural networks has long been a central research focus in the field of machine learning. Classical ap</w:t>
      </w:r>
      <w:r w:rsidR="00835471">
        <w:rPr>
          <w:rFonts w:ascii="Times New Roman" w:hAnsi="Times New Roman" w:cs="Times New Roman"/>
          <w:sz w:val="18"/>
          <w:szCs w:val="18"/>
        </w:rPr>
        <w:t>proaches such as Stochastic Gra</w:t>
      </w:r>
      <w:r w:rsidRPr="00A67B00">
        <w:rPr>
          <w:rFonts w:ascii="Times New Roman" w:hAnsi="Times New Roman" w:cs="Times New Roman"/>
          <w:sz w:val="18"/>
          <w:szCs w:val="18"/>
        </w:rPr>
        <w:t xml:space="preserve">dient Descent (SGD) with momentum are widely used for their simplicity and effectiveness. However, these require careful tuning and are often sensitive to initial conditions.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 xml:space="preserve">Several adaptive optimizers have emerged to address these challenges. </w:t>
      </w:r>
      <w:proofErr w:type="spellStart"/>
      <w:r w:rsidRPr="00A67B00">
        <w:rPr>
          <w:rFonts w:ascii="Times New Roman" w:hAnsi="Times New Roman" w:cs="Times New Roman"/>
          <w:sz w:val="18"/>
          <w:szCs w:val="18"/>
        </w:rPr>
        <w:t>RMSprop</w:t>
      </w:r>
      <w:proofErr w:type="spellEnd"/>
      <w:r w:rsidRPr="00A67B00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A67B00">
        <w:rPr>
          <w:rFonts w:ascii="Times New Roman" w:hAnsi="Times New Roman" w:cs="Times New Roman"/>
          <w:sz w:val="18"/>
          <w:szCs w:val="18"/>
        </w:rPr>
        <w:t>Tieleman</w:t>
      </w:r>
      <w:proofErr w:type="spellEnd"/>
      <w:r w:rsidRPr="00A67B00">
        <w:rPr>
          <w:rFonts w:ascii="Times New Roman" w:hAnsi="Times New Roman" w:cs="Times New Roman"/>
          <w:sz w:val="18"/>
          <w:szCs w:val="18"/>
        </w:rPr>
        <w:t xml:space="preserve"> &amp; Hinton, 2012) utilizes a moving averag</w:t>
      </w:r>
      <w:r w:rsidR="00835471">
        <w:rPr>
          <w:rFonts w:ascii="Times New Roman" w:hAnsi="Times New Roman" w:cs="Times New Roman"/>
          <w:sz w:val="18"/>
          <w:szCs w:val="18"/>
        </w:rPr>
        <w:t>e of squared gradients to stabi</w:t>
      </w:r>
      <w:r w:rsidRPr="00A67B00">
        <w:rPr>
          <w:rFonts w:ascii="Times New Roman" w:hAnsi="Times New Roman" w:cs="Times New Roman"/>
          <w:sz w:val="18"/>
          <w:szCs w:val="18"/>
        </w:rPr>
        <w:t>lize learning, while Adam (</w:t>
      </w:r>
      <w:proofErr w:type="spellStart"/>
      <w:r w:rsidRPr="00A67B00">
        <w:rPr>
          <w:rFonts w:ascii="Times New Roman" w:hAnsi="Times New Roman" w:cs="Times New Roman"/>
          <w:sz w:val="18"/>
          <w:szCs w:val="18"/>
        </w:rPr>
        <w:t>Kingma</w:t>
      </w:r>
      <w:proofErr w:type="spellEnd"/>
      <w:r w:rsidRPr="00A67B00">
        <w:rPr>
          <w:rFonts w:ascii="Times New Roman" w:hAnsi="Times New Roman" w:cs="Times New Roman"/>
          <w:sz w:val="18"/>
          <w:szCs w:val="18"/>
        </w:rPr>
        <w:t xml:space="preserve"> &amp; Ba, 2015) com bines momentum and </w:t>
      </w:r>
      <w:r w:rsidR="00835471">
        <w:rPr>
          <w:rFonts w:ascii="Times New Roman" w:hAnsi="Times New Roman" w:cs="Times New Roman"/>
          <w:sz w:val="18"/>
          <w:szCs w:val="18"/>
        </w:rPr>
        <w:t>adaptive gradient scaling to im</w:t>
      </w:r>
      <w:r w:rsidRPr="00A67B00">
        <w:rPr>
          <w:rFonts w:ascii="Times New Roman" w:hAnsi="Times New Roman" w:cs="Times New Roman"/>
          <w:sz w:val="18"/>
          <w:szCs w:val="18"/>
        </w:rPr>
        <w:t xml:space="preserve">prove convergence across various tasks. Despite their success, both methods depend on predefined schedules and exhibit performance limitations in noisy or rapidly changing environments.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>To overcome such limitations, recent studies have introduced fine-graine</w:t>
      </w:r>
      <w:r w:rsidR="00835471">
        <w:rPr>
          <w:rFonts w:ascii="Times New Roman" w:hAnsi="Times New Roman" w:cs="Times New Roman"/>
          <w:sz w:val="18"/>
          <w:szCs w:val="18"/>
        </w:rPr>
        <w:t>d control over learning rate dy</w:t>
      </w:r>
      <w:r w:rsidRPr="00A67B00">
        <w:rPr>
          <w:rFonts w:ascii="Times New Roman" w:hAnsi="Times New Roman" w:cs="Times New Roman"/>
          <w:sz w:val="18"/>
          <w:szCs w:val="18"/>
        </w:rPr>
        <w:t>namics. For instance, Li and Chen (Li &amp; Chen, 2023) proposed layer-wise v</w:t>
      </w:r>
      <w:r w:rsidR="00835471">
        <w:rPr>
          <w:rFonts w:ascii="Times New Roman" w:hAnsi="Times New Roman" w:cs="Times New Roman"/>
          <w:sz w:val="18"/>
          <w:szCs w:val="18"/>
        </w:rPr>
        <w:t>ariance-driven adaptation. Simi</w:t>
      </w:r>
      <w:r w:rsidRPr="00A67B00">
        <w:rPr>
          <w:rFonts w:ascii="Times New Roman" w:hAnsi="Times New Roman" w:cs="Times New Roman"/>
          <w:sz w:val="18"/>
          <w:szCs w:val="18"/>
        </w:rPr>
        <w:t xml:space="preserve">larly, </w:t>
      </w:r>
      <w:proofErr w:type="spellStart"/>
      <w:r w:rsidRPr="00A67B00">
        <w:rPr>
          <w:rFonts w:ascii="Times New Roman" w:hAnsi="Times New Roman" w:cs="Times New Roman"/>
          <w:sz w:val="18"/>
          <w:szCs w:val="18"/>
        </w:rPr>
        <w:t>NoSchedule</w:t>
      </w:r>
      <w:proofErr w:type="spellEnd"/>
      <w:r w:rsidRPr="00A67B00">
        <w:rPr>
          <w:rFonts w:ascii="Times New Roman" w:hAnsi="Times New Roman" w:cs="Times New Roman"/>
          <w:sz w:val="18"/>
          <w:szCs w:val="18"/>
        </w:rPr>
        <w:t xml:space="preserve"> (Lee &amp; Venkatesh, 2022) eliminates the need for learning rate heuristics entirely, while Fast</w:t>
      </w:r>
      <w:r w:rsidR="00835471">
        <w:rPr>
          <w:rFonts w:ascii="Times New Roman" w:hAnsi="Times New Roman" w:cs="Times New Roman"/>
          <w:sz w:val="18"/>
          <w:szCs w:val="18"/>
        </w:rPr>
        <w:t xml:space="preserve"> </w:t>
      </w:r>
      <w:r w:rsidRPr="00A67B00">
        <w:rPr>
          <w:rFonts w:ascii="Times New Roman" w:hAnsi="Times New Roman" w:cs="Times New Roman"/>
          <w:sz w:val="18"/>
          <w:szCs w:val="18"/>
        </w:rPr>
        <w:t xml:space="preserve">Adapt (Fernandez &amp; Kim, 2021) applies feedback loops to regulate update magnitudes dynamically.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>Context-sensitive optimization frameworks have also gained traction. These appr</w:t>
      </w:r>
      <w:r w:rsidR="00835471">
        <w:rPr>
          <w:rFonts w:ascii="Times New Roman" w:hAnsi="Times New Roman" w:cs="Times New Roman"/>
          <w:sz w:val="18"/>
          <w:szCs w:val="18"/>
        </w:rPr>
        <w:t>oaches leverage local gra</w:t>
      </w:r>
      <w:r w:rsidRPr="00A67B00">
        <w:rPr>
          <w:rFonts w:ascii="Times New Roman" w:hAnsi="Times New Roman" w:cs="Times New Roman"/>
          <w:sz w:val="18"/>
          <w:szCs w:val="18"/>
        </w:rPr>
        <w:t>dient behavior to tail</w:t>
      </w:r>
      <w:r w:rsidR="00835471">
        <w:rPr>
          <w:rFonts w:ascii="Times New Roman" w:hAnsi="Times New Roman" w:cs="Times New Roman"/>
          <w:sz w:val="18"/>
          <w:szCs w:val="18"/>
        </w:rPr>
        <w:t>or learning strategies, particu</w:t>
      </w:r>
      <w:r w:rsidRPr="00A67B00">
        <w:rPr>
          <w:rFonts w:ascii="Times New Roman" w:hAnsi="Times New Roman" w:cs="Times New Roman"/>
          <w:sz w:val="18"/>
          <w:szCs w:val="18"/>
        </w:rPr>
        <w:t xml:space="preserve">larly for sequential </w:t>
      </w:r>
      <w:r w:rsidR="00835471">
        <w:rPr>
          <w:rFonts w:ascii="Times New Roman" w:hAnsi="Times New Roman" w:cs="Times New Roman"/>
          <w:sz w:val="18"/>
          <w:szCs w:val="18"/>
        </w:rPr>
        <w:t>or embedded learning tasks (Gar</w:t>
      </w:r>
      <w:r w:rsidRPr="00A67B00">
        <w:rPr>
          <w:rFonts w:ascii="Times New Roman" w:hAnsi="Times New Roman" w:cs="Times New Roman"/>
          <w:sz w:val="18"/>
          <w:szCs w:val="18"/>
        </w:rPr>
        <w:t>cia &amp; Rao, 2020; Wang &amp; Singh, 2022). Research by Murthy and Ahmed (Murthy &amp; Ahmed, 2021) high lights the potential of threshold-based adaptation for robust training under irregular gradient conditions. Zhou and Patel (Zh</w:t>
      </w:r>
      <w:r w:rsidR="00835471">
        <w:rPr>
          <w:rFonts w:ascii="Times New Roman" w:hAnsi="Times New Roman" w:cs="Times New Roman"/>
          <w:sz w:val="18"/>
          <w:szCs w:val="18"/>
        </w:rPr>
        <w:t>ou &amp; Patel, 2022) further empha</w:t>
      </w:r>
      <w:r w:rsidRPr="00A67B00">
        <w:rPr>
          <w:rFonts w:ascii="Times New Roman" w:hAnsi="Times New Roman" w:cs="Times New Roman"/>
          <w:sz w:val="18"/>
          <w:szCs w:val="18"/>
        </w:rPr>
        <w:t xml:space="preserve">sized the value of variance-based control in managing noisy training dynamics. </w:t>
      </w:r>
    </w:p>
    <w:p w:rsidR="00A67B00" w:rsidRDefault="00C375A9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31F65F" wp14:editId="3DC594F2">
                <wp:simplePos x="0" y="0"/>
                <wp:positionH relativeFrom="column">
                  <wp:posOffset>3404235</wp:posOffset>
                </wp:positionH>
                <wp:positionV relativeFrom="paragraph">
                  <wp:posOffset>45085</wp:posOffset>
                </wp:positionV>
                <wp:extent cx="31051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467" y="19938"/>
                    <wp:lineTo x="21467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754" w:rsidRPr="00F0054F" w:rsidRDefault="001E6754" w:rsidP="001E675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Table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)|</w:t>
                            </w:r>
                            <w:proofErr w:type="gramEnd"/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67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Test Accuracy (%) on Benchmark Datasets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F6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268.05pt;margin-top:3.55pt;width:244.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" fillcolor="white [3201]" stroked="f" strokeweight=".5pt">
                <v:textbox>
                  <w:txbxContent>
                    <w:p w:rsidR="001E6754" w:rsidRPr="00F0054F" w:rsidRDefault="001E6754" w:rsidP="001E675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Table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)|</w:t>
                      </w:r>
                      <w:proofErr w:type="gramEnd"/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E67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Test Accuracy (%) on Benchmark Datasets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7B00" w:rsidRPr="00A67B00">
        <w:rPr>
          <w:rFonts w:ascii="Times New Roman" w:hAnsi="Times New Roman" w:cs="Times New Roman"/>
          <w:sz w:val="18"/>
          <w:szCs w:val="18"/>
        </w:rPr>
        <w:t>Building on these trends, we propose Dynamic Threshold Descent (DTD), a stateless, batch-wise learning rate control mechanism that adjusts step sizes in real time by moni</w:t>
      </w:r>
      <w:r w:rsidR="00835471">
        <w:rPr>
          <w:rFonts w:ascii="Times New Roman" w:hAnsi="Times New Roman" w:cs="Times New Roman"/>
          <w:sz w:val="18"/>
          <w:szCs w:val="18"/>
        </w:rPr>
        <w:t>toring mini-batch gradient vari</w:t>
      </w:r>
      <w:r w:rsidR="00A67B00" w:rsidRPr="00A67B00">
        <w:rPr>
          <w:rFonts w:ascii="Times New Roman" w:hAnsi="Times New Roman" w:cs="Times New Roman"/>
          <w:sz w:val="18"/>
          <w:szCs w:val="18"/>
        </w:rPr>
        <w:t>ance. DTD</w:t>
      </w:r>
      <w:r w:rsidR="00835471">
        <w:rPr>
          <w:rFonts w:ascii="Times New Roman" w:hAnsi="Times New Roman" w:cs="Times New Roman"/>
          <w:sz w:val="18"/>
          <w:szCs w:val="18"/>
        </w:rPr>
        <w:t xml:space="preserve"> </w:t>
      </w:r>
      <w:r w:rsidR="00A67B00" w:rsidRPr="00A67B00">
        <w:rPr>
          <w:rFonts w:ascii="Times New Roman" w:hAnsi="Times New Roman" w:cs="Times New Roman"/>
          <w:sz w:val="18"/>
          <w:szCs w:val="18"/>
        </w:rPr>
        <w:t>aims</w:t>
      </w:r>
      <w:r w:rsidR="00835471">
        <w:rPr>
          <w:rFonts w:ascii="Times New Roman" w:hAnsi="Times New Roman" w:cs="Times New Roman"/>
          <w:sz w:val="18"/>
          <w:szCs w:val="18"/>
        </w:rPr>
        <w:t xml:space="preserve"> </w:t>
      </w:r>
      <w:r w:rsidR="00A67B00" w:rsidRPr="00A67B00">
        <w:rPr>
          <w:rFonts w:ascii="Times New Roman" w:hAnsi="Times New Roman" w:cs="Times New Roman"/>
          <w:sz w:val="18"/>
          <w:szCs w:val="18"/>
        </w:rPr>
        <w:t>to</w:t>
      </w:r>
      <w:r w:rsidR="00835471">
        <w:rPr>
          <w:rFonts w:ascii="Times New Roman" w:hAnsi="Times New Roman" w:cs="Times New Roman"/>
          <w:sz w:val="18"/>
          <w:szCs w:val="18"/>
        </w:rPr>
        <w:t xml:space="preserve"> </w:t>
      </w:r>
      <w:r w:rsidR="00A67B00" w:rsidRPr="00A67B00">
        <w:rPr>
          <w:rFonts w:ascii="Times New Roman" w:hAnsi="Times New Roman" w:cs="Times New Roman"/>
          <w:sz w:val="18"/>
          <w:szCs w:val="18"/>
        </w:rPr>
        <w:t>im</w:t>
      </w:r>
      <w:r w:rsidR="00835471">
        <w:rPr>
          <w:rFonts w:ascii="Times New Roman" w:hAnsi="Times New Roman" w:cs="Times New Roman"/>
          <w:sz w:val="18"/>
          <w:szCs w:val="18"/>
        </w:rPr>
        <w:t>prove responsiveness and conver</w:t>
      </w:r>
      <w:r w:rsidR="00A67B00" w:rsidRPr="00A67B00">
        <w:rPr>
          <w:rFonts w:ascii="Times New Roman" w:hAnsi="Times New Roman" w:cs="Times New Roman"/>
          <w:sz w:val="18"/>
          <w:szCs w:val="18"/>
        </w:rPr>
        <w:t xml:space="preserve">gence efficiency while maintaining simplicity and low overhead. </w:t>
      </w:r>
    </w:p>
    <w:p w:rsidR="00A67B00" w:rsidRPr="00A67B00" w:rsidRDefault="00A67B00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Pr="00A67B00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>To evaluate the e</w:t>
      </w:r>
      <w:r>
        <w:rPr>
          <w:rFonts w:ascii="Times New Roman" w:hAnsi="Times New Roman" w:cs="Times New Roman"/>
          <w:sz w:val="18"/>
          <w:szCs w:val="18"/>
        </w:rPr>
        <w:t>ffectiveness of the proposed Dy</w:t>
      </w:r>
      <w:r w:rsidRPr="00A67B00">
        <w:rPr>
          <w:rFonts w:ascii="Times New Roman" w:hAnsi="Times New Roman" w:cs="Times New Roman"/>
          <w:sz w:val="18"/>
          <w:szCs w:val="18"/>
        </w:rPr>
        <w:t>namic Threshold Descent (DTD) optimizer, we con ducted a series of expe</w:t>
      </w:r>
      <w:r>
        <w:rPr>
          <w:rFonts w:ascii="Times New Roman" w:hAnsi="Times New Roman" w:cs="Times New Roman"/>
          <w:sz w:val="18"/>
          <w:szCs w:val="18"/>
        </w:rPr>
        <w:t>riments using convolutional neu</w:t>
      </w:r>
      <w:r w:rsidRPr="00A67B00">
        <w:rPr>
          <w:rFonts w:ascii="Times New Roman" w:hAnsi="Times New Roman" w:cs="Times New Roman"/>
          <w:sz w:val="18"/>
          <w:szCs w:val="18"/>
        </w:rPr>
        <w:t>ral networks (CNNs) across three benchmark datasets: MNIST, Fashion-MNIST, and CIFAR-10. These datasets represent increasing levels of complexity and are widely used for eval</w:t>
      </w:r>
      <w:r>
        <w:rPr>
          <w:rFonts w:ascii="Times New Roman" w:hAnsi="Times New Roman" w:cs="Times New Roman"/>
          <w:sz w:val="18"/>
          <w:szCs w:val="18"/>
        </w:rPr>
        <w:t>uating image classification mod</w:t>
      </w:r>
      <w:r w:rsidRPr="00A67B00">
        <w:rPr>
          <w:rFonts w:ascii="Times New Roman" w:hAnsi="Times New Roman" w:cs="Times New Roman"/>
          <w:sz w:val="18"/>
          <w:szCs w:val="18"/>
        </w:rPr>
        <w:t xml:space="preserve">els.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>All models were implemented in TensorFlow 2.12 and trained on a system equipped with an NVIDIA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7B00">
        <w:rPr>
          <w:rFonts w:ascii="Times New Roman" w:hAnsi="Times New Roman" w:cs="Times New Roman"/>
          <w:sz w:val="18"/>
          <w:szCs w:val="18"/>
        </w:rPr>
        <w:t>RTX 3080 GPU. Each CNN architecture consisted of four convolutional l</w:t>
      </w:r>
      <w:r>
        <w:rPr>
          <w:rFonts w:ascii="Times New Roman" w:hAnsi="Times New Roman" w:cs="Times New Roman"/>
          <w:sz w:val="18"/>
          <w:szCs w:val="18"/>
        </w:rPr>
        <w:t>ayers followed by two fully con</w:t>
      </w:r>
      <w:r w:rsidRPr="00A67B00">
        <w:rPr>
          <w:rFonts w:ascii="Times New Roman" w:hAnsi="Times New Roman" w:cs="Times New Roman"/>
          <w:sz w:val="18"/>
          <w:szCs w:val="18"/>
        </w:rPr>
        <w:t>nected layers, with</w:t>
      </w:r>
      <w:r w:rsidR="00CC3D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C3D68">
        <w:rPr>
          <w:rFonts w:ascii="Times New Roman" w:hAnsi="Times New Roman" w:cs="Times New Roman"/>
          <w:sz w:val="18"/>
          <w:szCs w:val="18"/>
        </w:rPr>
        <w:t>ReLU</w:t>
      </w:r>
      <w:proofErr w:type="spellEnd"/>
      <w:r w:rsidR="00CC3D68">
        <w:rPr>
          <w:rFonts w:ascii="Times New Roman" w:hAnsi="Times New Roman" w:cs="Times New Roman"/>
          <w:sz w:val="18"/>
          <w:szCs w:val="18"/>
        </w:rPr>
        <w:t xml:space="preserve"> activations </w:t>
      </w:r>
      <w:r w:rsidR="00CC3D68">
        <w:rPr>
          <w:rFonts w:ascii="Times New Roman" w:hAnsi="Times New Roman" w:cs="Times New Roman"/>
          <w:sz w:val="18"/>
          <w:szCs w:val="18"/>
        </w:rPr>
        <w:t>and batch nor</w:t>
      </w:r>
      <w:r w:rsidRPr="00A67B00">
        <w:rPr>
          <w:rFonts w:ascii="Times New Roman" w:hAnsi="Times New Roman" w:cs="Times New Roman"/>
          <w:sz w:val="18"/>
          <w:szCs w:val="18"/>
        </w:rPr>
        <w:t xml:space="preserve">malization applied throughout. Dropout was used in the dense layers to prevent overfitting.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 xml:space="preserve">Training was conducted for 30 epochs per dataset using a batch size of 64. We compared DTD against three established optimizers: SGD with momentum, </w:t>
      </w:r>
      <w:proofErr w:type="spellStart"/>
      <w:r w:rsidRPr="00A67B00">
        <w:rPr>
          <w:rFonts w:ascii="Times New Roman" w:hAnsi="Times New Roman" w:cs="Times New Roman"/>
          <w:sz w:val="18"/>
          <w:szCs w:val="18"/>
        </w:rPr>
        <w:t>RMSprop</w:t>
      </w:r>
      <w:proofErr w:type="spellEnd"/>
      <w:r w:rsidRPr="00A67B00">
        <w:rPr>
          <w:rFonts w:ascii="Times New Roman" w:hAnsi="Times New Roman" w:cs="Times New Roman"/>
          <w:sz w:val="18"/>
          <w:szCs w:val="18"/>
        </w:rPr>
        <w:t xml:space="preserve">, and Adam. All optimizers used the same initial learning rate of 0.001 for fair comparison. </w:t>
      </w:r>
    </w:p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A67B00">
        <w:rPr>
          <w:rFonts w:ascii="Times New Roman" w:hAnsi="Times New Roman" w:cs="Times New Roman"/>
          <w:sz w:val="18"/>
          <w:szCs w:val="18"/>
        </w:rPr>
        <w:t>DTD adapts the learning rate dynamically during training based on batc</w:t>
      </w:r>
      <w:r>
        <w:rPr>
          <w:rFonts w:ascii="Times New Roman" w:hAnsi="Times New Roman" w:cs="Times New Roman"/>
          <w:sz w:val="18"/>
          <w:szCs w:val="18"/>
        </w:rPr>
        <w:t>h-level gradient norms. Specifi</w:t>
      </w:r>
      <w:r w:rsidRPr="00A67B00">
        <w:rPr>
          <w:rFonts w:ascii="Times New Roman" w:hAnsi="Times New Roman" w:cs="Times New Roman"/>
          <w:sz w:val="18"/>
          <w:szCs w:val="18"/>
        </w:rPr>
        <w:t xml:space="preserve">cally, at each training step, a threshold τ is calculated using a moving average of recent gradient magnitudes. If the current batch gradient exceeds τ, the learning rate is decreased by a factor δ; otherwise, it is increased by a factor α. </w:t>
      </w:r>
    </w:p>
    <w:p w:rsidR="001F7194" w:rsidRDefault="00F0054F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F0F41" wp14:editId="68D920C7">
                <wp:simplePos x="0" y="0"/>
                <wp:positionH relativeFrom="column">
                  <wp:posOffset>-85725</wp:posOffset>
                </wp:positionH>
                <wp:positionV relativeFrom="paragraph">
                  <wp:posOffset>191770</wp:posOffset>
                </wp:positionV>
                <wp:extent cx="3105150" cy="247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54F" w:rsidRPr="00F0054F" w:rsidRDefault="00F0054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Table (</w:t>
                            </w:r>
                            <w:proofErr w:type="gramStart"/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1)|</w:t>
                            </w:r>
                            <w:proofErr w:type="gramEnd"/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Training Configuration and Hyperparameters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0F41" id="Text Box 11" o:spid="_x0000_s1030" type="#_x0000_t202" style="position:absolute;left:0;text-align:left;margin-left:-6.75pt;margin-top:15.1pt;width:244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" fillcolor="white [3201]" stroked="f" strokeweight=".5pt">
                <v:textbox>
                  <w:txbxContent>
                    <w:p w:rsidR="00F0054F" w:rsidRPr="00F0054F" w:rsidRDefault="00F0054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Table (</w:t>
                      </w:r>
                      <w:proofErr w:type="gramStart"/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1)|</w:t>
                      </w:r>
                      <w:proofErr w:type="gramEnd"/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Training Configuration and Hyperparameters</w:t>
                      </w:r>
                    </w:p>
                  </w:txbxContent>
                </v:textbox>
              </v:shape>
            </w:pict>
          </mc:Fallback>
        </mc:AlternateContent>
      </w:r>
      <w:r w:rsidR="00A67B00" w:rsidRPr="00A67B00">
        <w:rPr>
          <w:rFonts w:ascii="Times New Roman" w:hAnsi="Times New Roman" w:cs="Times New Roman"/>
          <w:sz w:val="18"/>
          <w:szCs w:val="18"/>
        </w:rPr>
        <w:t>Table 1 outlines the hyperparameters used for all experiments</w:t>
      </w:r>
    </w:p>
    <w:p w:rsidR="00DA6128" w:rsidRDefault="00DA6128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276"/>
      </w:tblGrid>
      <w:tr w:rsidR="00A67B00" w:rsidTr="00DA6128">
        <w:tc>
          <w:tcPr>
            <w:tcW w:w="2126" w:type="dxa"/>
          </w:tcPr>
          <w:p w:rsidR="00A67B00" w:rsidRDefault="00A67B00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Parameter</w:t>
            </w:r>
          </w:p>
        </w:tc>
        <w:tc>
          <w:tcPr>
            <w:tcW w:w="1276" w:type="dxa"/>
          </w:tcPr>
          <w:p w:rsidR="00A67B00" w:rsidRDefault="00A67B00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</w:tr>
      <w:tr w:rsidR="00A67B00" w:rsidTr="00DA6128">
        <w:tc>
          <w:tcPr>
            <w:tcW w:w="2126" w:type="dxa"/>
          </w:tcPr>
          <w:p w:rsidR="00A67B00" w:rsidRDefault="00A67B00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Epoches</w:t>
            </w:r>
            <w:proofErr w:type="spellEnd"/>
          </w:p>
          <w:p w:rsidR="00A67B00" w:rsidRDefault="00A67B00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Batch Size</w:t>
            </w:r>
          </w:p>
          <w:p w:rsidR="00A67B00" w:rsidRDefault="00A67B00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Initial Learning Rate</w:t>
            </w:r>
          </w:p>
          <w:p w:rsidR="00A67B00" w:rsidRDefault="00A67B00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DTD α</w:t>
            </w:r>
            <w:r w:rsidR="00A878B5">
              <w:rPr>
                <w:rFonts w:ascii="Times New Roman" w:hAnsi="Times New Roman" w:cs="Times New Roman"/>
                <w:sz w:val="18"/>
                <w:szCs w:val="18"/>
              </w:rPr>
              <w:t xml:space="preserve"> (Increase Factor)</w:t>
            </w:r>
          </w:p>
          <w:p w:rsidR="00A878B5" w:rsidRDefault="00A878B5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128">
              <w:rPr>
                <w:rFonts w:ascii="Times New Roman" w:hAnsi="Times New Roman" w:cs="Times New Roman"/>
                <w:sz w:val="18"/>
                <w:szCs w:val="18"/>
              </w:rPr>
              <w:t xml:space="preserve">DTD </w:t>
            </w:r>
            <w:r w:rsidR="00DA6128" w:rsidRPr="00DA6128">
              <w:rPr>
                <w:rFonts w:ascii="Times New Roman" w:hAnsi="Times New Roman" w:cs="Times New Roman"/>
                <w:sz w:val="18"/>
                <w:szCs w:val="18"/>
              </w:rPr>
              <w:t>δ (Decay Factor)</w:t>
            </w:r>
          </w:p>
          <w:p w:rsidR="00A67B00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128">
              <w:rPr>
                <w:rFonts w:ascii="Times New Roman" w:hAnsi="Times New Roman" w:cs="Times New Roman"/>
                <w:sz w:val="18"/>
                <w:szCs w:val="18"/>
              </w:rPr>
              <w:t>Threshold Window Size</w:t>
            </w:r>
          </w:p>
        </w:tc>
        <w:tc>
          <w:tcPr>
            <w:tcW w:w="1276" w:type="dxa"/>
          </w:tcPr>
          <w:p w:rsidR="00A67B00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DA6128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DA6128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  <w:p w:rsidR="00DA6128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DA6128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DA6128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batches</w:t>
            </w:r>
          </w:p>
          <w:p w:rsidR="00DA6128" w:rsidRDefault="00DA6128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7B00" w:rsidRDefault="00A67B00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1E6754" w:rsidRPr="001E6754" w:rsidRDefault="001E6754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54">
        <w:rPr>
          <w:rFonts w:ascii="Times New Roman" w:hAnsi="Times New Roman" w:cs="Times New Roman"/>
          <w:b/>
          <w:sz w:val="24"/>
          <w:szCs w:val="24"/>
        </w:rPr>
        <w:t xml:space="preserve">Results </w:t>
      </w:r>
    </w:p>
    <w:p w:rsidR="001E6754" w:rsidRDefault="001E675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1E6754">
        <w:rPr>
          <w:rFonts w:ascii="Times New Roman" w:hAnsi="Times New Roman" w:cs="Times New Roman"/>
          <w:sz w:val="18"/>
          <w:szCs w:val="18"/>
        </w:rPr>
        <w:t>We evaluated the performance of Dynamic Thresh old Descent (DTD) ag</w:t>
      </w:r>
      <w:r>
        <w:rPr>
          <w:rFonts w:ascii="Times New Roman" w:hAnsi="Times New Roman" w:cs="Times New Roman"/>
          <w:sz w:val="18"/>
          <w:szCs w:val="18"/>
        </w:rPr>
        <w:t>ainst three widely used optimiz</w:t>
      </w:r>
      <w:r w:rsidRPr="001E6754">
        <w:rPr>
          <w:rFonts w:ascii="Times New Roman" w:hAnsi="Times New Roman" w:cs="Times New Roman"/>
          <w:sz w:val="18"/>
          <w:szCs w:val="18"/>
        </w:rPr>
        <w:t xml:space="preserve">ers: SGD with momentum, </w:t>
      </w:r>
      <w:proofErr w:type="spellStart"/>
      <w:r w:rsidRPr="001E6754">
        <w:rPr>
          <w:rFonts w:ascii="Times New Roman" w:hAnsi="Times New Roman" w:cs="Times New Roman"/>
          <w:sz w:val="18"/>
          <w:szCs w:val="18"/>
        </w:rPr>
        <w:t>RMSprop</w:t>
      </w:r>
      <w:proofErr w:type="spellEnd"/>
      <w:r w:rsidRPr="001E6754">
        <w:rPr>
          <w:rFonts w:ascii="Times New Roman" w:hAnsi="Times New Roman" w:cs="Times New Roman"/>
          <w:sz w:val="18"/>
          <w:szCs w:val="18"/>
        </w:rPr>
        <w:t>, and Adam. All models were trained on MNIST, Fashion-MNIST, and CIFAR-10 using identical network architectures and training configurations. Accuracy and Convergence DTD</w:t>
      </w:r>
      <w:r w:rsidR="00835471">
        <w:rPr>
          <w:rFonts w:ascii="Times New Roman" w:hAnsi="Times New Roman" w:cs="Times New Roman"/>
          <w:sz w:val="18"/>
          <w:szCs w:val="18"/>
        </w:rPr>
        <w:t xml:space="preserve"> </w:t>
      </w:r>
      <w:r w:rsidRPr="001E6754">
        <w:rPr>
          <w:rFonts w:ascii="Times New Roman" w:hAnsi="Times New Roman" w:cs="Times New Roman"/>
          <w:sz w:val="18"/>
          <w:szCs w:val="18"/>
        </w:rPr>
        <w:t xml:space="preserve">demonstrated comparable accuracy to Adam and </w:t>
      </w:r>
      <w:proofErr w:type="spellStart"/>
      <w:r w:rsidRPr="001E6754">
        <w:rPr>
          <w:rFonts w:ascii="Times New Roman" w:hAnsi="Times New Roman" w:cs="Times New Roman"/>
          <w:sz w:val="18"/>
          <w:szCs w:val="18"/>
        </w:rPr>
        <w:t>RMSprop</w:t>
      </w:r>
      <w:proofErr w:type="spellEnd"/>
      <w:r w:rsidRPr="001E6754">
        <w:rPr>
          <w:rFonts w:ascii="Times New Roman" w:hAnsi="Times New Roman" w:cs="Times New Roman"/>
          <w:sz w:val="18"/>
          <w:szCs w:val="18"/>
        </w:rPr>
        <w:t xml:space="preserve"> while outper</w:t>
      </w:r>
      <w:r w:rsidR="00835471">
        <w:rPr>
          <w:rFonts w:ascii="Times New Roman" w:hAnsi="Times New Roman" w:cs="Times New Roman"/>
          <w:sz w:val="18"/>
          <w:szCs w:val="18"/>
        </w:rPr>
        <w:t>forming both in terms of conver</w:t>
      </w:r>
      <w:r w:rsidRPr="001E6754">
        <w:rPr>
          <w:rFonts w:ascii="Times New Roman" w:hAnsi="Times New Roman" w:cs="Times New Roman"/>
          <w:sz w:val="18"/>
          <w:szCs w:val="18"/>
        </w:rPr>
        <w:t>gence speed. Table 2</w:t>
      </w:r>
      <w:r>
        <w:rPr>
          <w:rFonts w:ascii="Times New Roman" w:hAnsi="Times New Roman" w:cs="Times New Roman"/>
          <w:sz w:val="18"/>
          <w:szCs w:val="18"/>
        </w:rPr>
        <w:t xml:space="preserve"> summarizes the final test accu</w:t>
      </w:r>
      <w:r w:rsidRPr="001E6754">
        <w:rPr>
          <w:rFonts w:ascii="Times New Roman" w:hAnsi="Times New Roman" w:cs="Times New Roman"/>
          <w:sz w:val="18"/>
          <w:szCs w:val="18"/>
        </w:rPr>
        <w:t>racy for each optimizer on the three datasets.</w:t>
      </w:r>
    </w:p>
    <w:p w:rsidR="001E6754" w:rsidRDefault="001E6754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867"/>
        <w:gridCol w:w="1518"/>
        <w:gridCol w:w="1077"/>
      </w:tblGrid>
      <w:tr w:rsidR="00C375A9" w:rsidTr="007C03FA">
        <w:tc>
          <w:tcPr>
            <w:tcW w:w="1154" w:type="dxa"/>
          </w:tcPr>
          <w:p w:rsidR="00C375A9" w:rsidRDefault="00C375A9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Optimizer</w:t>
            </w:r>
          </w:p>
        </w:tc>
        <w:tc>
          <w:tcPr>
            <w:tcW w:w="867" w:type="dxa"/>
          </w:tcPr>
          <w:p w:rsidR="00C375A9" w:rsidRDefault="00C375A9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MNIST</w:t>
            </w:r>
          </w:p>
        </w:tc>
        <w:tc>
          <w:tcPr>
            <w:tcW w:w="1518" w:type="dxa"/>
          </w:tcPr>
          <w:p w:rsidR="00C375A9" w:rsidRDefault="00C375A9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Fashion-MNIST</w:t>
            </w:r>
          </w:p>
        </w:tc>
        <w:tc>
          <w:tcPr>
            <w:tcW w:w="1077" w:type="dxa"/>
          </w:tcPr>
          <w:p w:rsidR="00C375A9" w:rsidRDefault="00C375A9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CIFAR-10</w:t>
            </w:r>
          </w:p>
        </w:tc>
      </w:tr>
      <w:tr w:rsidR="00C375A9" w:rsidTr="007C03FA">
        <w:tc>
          <w:tcPr>
            <w:tcW w:w="1154" w:type="dxa"/>
          </w:tcPr>
          <w:p w:rsidR="00C375A9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SGD</w:t>
            </w:r>
          </w:p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RMSprop</w:t>
            </w:r>
            <w:proofErr w:type="spellEnd"/>
          </w:p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Adam</w:t>
            </w:r>
          </w:p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DTD(Ours)</w:t>
            </w:r>
          </w:p>
        </w:tc>
        <w:tc>
          <w:tcPr>
            <w:tcW w:w="867" w:type="dxa"/>
          </w:tcPr>
          <w:p w:rsidR="00C375A9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98.3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98.3</w:t>
            </w:r>
          </w:p>
        </w:tc>
        <w:tc>
          <w:tcPr>
            <w:tcW w:w="1518" w:type="dxa"/>
          </w:tcPr>
          <w:p w:rsidR="00C375A9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88.4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89.1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89.3</w:t>
            </w:r>
          </w:p>
        </w:tc>
        <w:tc>
          <w:tcPr>
            <w:tcW w:w="1077" w:type="dxa"/>
          </w:tcPr>
          <w:p w:rsidR="00C375A9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72.5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73.6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73.9</w:t>
            </w:r>
          </w:p>
        </w:tc>
      </w:tr>
    </w:tbl>
    <w:p w:rsidR="00C375A9" w:rsidRDefault="00C375A9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7C03FA">
        <w:rPr>
          <w:rFonts w:ascii="Times New Roman" w:hAnsi="Times New Roman" w:cs="Times New Roman"/>
          <w:sz w:val="18"/>
          <w:szCs w:val="18"/>
        </w:rPr>
        <w:t>DTD converged more rapidly than other methods, reaching 90% accuracy on MNIST in just 14 epochs, compared to 18 for Adam and 25 for SGD. This is particularly valuable in time-constrained or resource limited scenarios.</w:t>
      </w:r>
    </w:p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D7F761" wp14:editId="5239FA09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310515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67" y="20400"/>
                    <wp:lineTo x="21467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3FA" w:rsidRPr="00F0054F" w:rsidRDefault="007C03FA" w:rsidP="007C03F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Table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)|</w:t>
                            </w:r>
                            <w:proofErr w:type="gramEnd"/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03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Epochs Required to Reach 90% Accuracy on MNIST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F761" id="Text Box 13" o:spid="_x0000_s1031" type="#_x0000_t202" style="position:absolute;left:0;text-align:left;margin-left:-7.2pt;margin-top:0;width:244.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" fillcolor="white [3201]" stroked="f" strokeweight=".5pt">
                <v:textbox>
                  <w:txbxContent>
                    <w:p w:rsidR="007C03FA" w:rsidRPr="00F0054F" w:rsidRDefault="007C03FA" w:rsidP="007C03F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Table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)|</w:t>
                      </w:r>
                      <w:proofErr w:type="gramEnd"/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7C03F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Epochs Required to Reach 90% Accuracy on MNIST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62"/>
        <w:gridCol w:w="948"/>
      </w:tblGrid>
      <w:tr w:rsidR="007C03FA" w:rsidTr="007C03FA">
        <w:tc>
          <w:tcPr>
            <w:tcW w:w="1462" w:type="dxa"/>
          </w:tcPr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Optimizer</w:t>
            </w:r>
          </w:p>
        </w:tc>
        <w:tc>
          <w:tcPr>
            <w:tcW w:w="948" w:type="dxa"/>
          </w:tcPr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Epochs</w:t>
            </w:r>
          </w:p>
        </w:tc>
      </w:tr>
      <w:tr w:rsidR="007C03FA" w:rsidTr="007C03FA">
        <w:tc>
          <w:tcPr>
            <w:tcW w:w="1462" w:type="dxa"/>
          </w:tcPr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SGD</w:t>
            </w:r>
          </w:p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RMSprop</w:t>
            </w:r>
            <w:proofErr w:type="spellEnd"/>
          </w:p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Adam</w:t>
            </w:r>
          </w:p>
          <w:p w:rsidR="007C03FA" w:rsidRDefault="007C03FA" w:rsidP="009E2D44">
            <w:pPr>
              <w:ind w:right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DTD (Ours)</w:t>
            </w:r>
          </w:p>
        </w:tc>
        <w:tc>
          <w:tcPr>
            <w:tcW w:w="948" w:type="dxa"/>
          </w:tcPr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7C03FA" w:rsidRDefault="007C03FA" w:rsidP="007C03FA">
            <w:pPr>
              <w:ind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7C03FA" w:rsidRPr="007C03FA" w:rsidRDefault="007C03FA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FA">
        <w:rPr>
          <w:rFonts w:ascii="Times New Roman" w:hAnsi="Times New Roman" w:cs="Times New Roman"/>
          <w:b/>
          <w:sz w:val="24"/>
          <w:szCs w:val="24"/>
        </w:rPr>
        <w:t xml:space="preserve">Learning Rate Behavior </w:t>
      </w:r>
    </w:p>
    <w:p w:rsidR="007C03FA" w:rsidRDefault="007C03FA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7C03FA">
        <w:rPr>
          <w:rFonts w:ascii="Times New Roman" w:hAnsi="Times New Roman" w:cs="Times New Roman"/>
          <w:sz w:val="18"/>
          <w:szCs w:val="18"/>
        </w:rPr>
        <w:t>Figure 1 illustrates the learning rate dynamics of DTD over epochs. The lear</w:t>
      </w:r>
      <w:r>
        <w:rPr>
          <w:rFonts w:ascii="Times New Roman" w:hAnsi="Times New Roman" w:cs="Times New Roman"/>
          <w:sz w:val="18"/>
          <w:szCs w:val="18"/>
        </w:rPr>
        <w:t>ning rate increases during peri</w:t>
      </w:r>
      <w:r w:rsidRPr="007C03FA">
        <w:rPr>
          <w:rFonts w:ascii="Times New Roman" w:hAnsi="Times New Roman" w:cs="Times New Roman"/>
          <w:sz w:val="18"/>
          <w:szCs w:val="18"/>
        </w:rPr>
        <w:t>ods of gradient stability and decreases when instability is detected, ensuring both convergence efficiency and stability.</w:t>
      </w:r>
    </w:p>
    <w:p w:rsidR="00B7289D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4DEDB8" wp14:editId="0CA57B32">
                <wp:simplePos x="0" y="0"/>
                <wp:positionH relativeFrom="column">
                  <wp:posOffset>3318510</wp:posOffset>
                </wp:positionH>
                <wp:positionV relativeFrom="paragraph">
                  <wp:posOffset>89535</wp:posOffset>
                </wp:positionV>
                <wp:extent cx="310515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67" y="20400"/>
                    <wp:lineTo x="21467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EC3" w:rsidRPr="00F0054F" w:rsidRDefault="00BE5EC3" w:rsidP="00BE5EC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Figure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)|</w:t>
                            </w:r>
                            <w:proofErr w:type="gramEnd"/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E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Validation accuracy across combinations of α and δ. Darker regions indicate better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EDB8" id="Text Box 17" o:spid="_x0000_s1032" type="#_x0000_t202" style="position:absolute;left:0;text-align:left;margin-left:261.3pt;margin-top:7.05pt;width:244.5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" fillcolor="white [3201]" stroked="f" strokeweight=".5pt">
                <v:textbox>
                  <w:txbxContent>
                    <w:p w:rsidR="00BE5EC3" w:rsidRPr="00F0054F" w:rsidRDefault="00BE5EC3" w:rsidP="00BE5EC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Figure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)|</w:t>
                      </w:r>
                      <w:proofErr w:type="gramEnd"/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E5EC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Validation accuracy across combinations of α and δ. Darker regions indicate better performance.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289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188587" wp14:editId="2EC74211">
                <wp:simplePos x="0" y="0"/>
                <wp:positionH relativeFrom="column">
                  <wp:posOffset>-19050</wp:posOffset>
                </wp:positionH>
                <wp:positionV relativeFrom="paragraph">
                  <wp:posOffset>1661160</wp:posOffset>
                </wp:positionV>
                <wp:extent cx="310515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67" y="20400"/>
                    <wp:lineTo x="21467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89D" w:rsidRPr="00F0054F" w:rsidRDefault="00B7289D" w:rsidP="00B7289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Figure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)|</w:t>
                            </w:r>
                            <w:proofErr w:type="gramEnd"/>
                            <w:r w:rsidRPr="00F005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DTD Learning Rate Variation Across Epochs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8587" id="Text Box 15" o:spid="_x0000_s1033" type="#_x0000_t202" style="position:absolute;left:0;text-align:left;margin-left:-1.5pt;margin-top:130.8pt;width:244.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" fillcolor="white [3201]" stroked="f" strokeweight=".5pt">
                <v:textbox>
                  <w:txbxContent>
                    <w:p w:rsidR="00B7289D" w:rsidRPr="00F0054F" w:rsidRDefault="00B7289D" w:rsidP="00B7289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Figure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)|</w:t>
                      </w:r>
                      <w:proofErr w:type="gramEnd"/>
                      <w:r w:rsidRPr="00F005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DTD Learning Rate Variation Across Epochs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289D" w:rsidRPr="00B7289D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D3E5E98" wp14:editId="4CBFAD95">
            <wp:extent cx="2937510" cy="1449378"/>
            <wp:effectExtent l="0" t="0" r="0" b="0"/>
            <wp:docPr id="14" name="Picture 14" descr="C:\Users\ADMIN\Downloads\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amp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44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9D" w:rsidRPr="00B7289D" w:rsidRDefault="00B7289D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89D">
        <w:rPr>
          <w:rFonts w:ascii="Times New Roman" w:hAnsi="Times New Roman" w:cs="Times New Roman"/>
          <w:b/>
          <w:sz w:val="24"/>
          <w:szCs w:val="24"/>
        </w:rPr>
        <w:t xml:space="preserve">Hyperparameter Sensitivity </w:t>
      </w:r>
    </w:p>
    <w:p w:rsidR="00B7289D" w:rsidRDefault="00B7289D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7289D">
        <w:rPr>
          <w:rFonts w:ascii="Times New Roman" w:hAnsi="Times New Roman" w:cs="Times New Roman"/>
          <w:sz w:val="18"/>
          <w:szCs w:val="18"/>
        </w:rPr>
        <w:t xml:space="preserve">Dynamic Threshold </w:t>
      </w:r>
      <w:r>
        <w:rPr>
          <w:rFonts w:ascii="Times New Roman" w:hAnsi="Times New Roman" w:cs="Times New Roman"/>
          <w:sz w:val="18"/>
          <w:szCs w:val="18"/>
        </w:rPr>
        <w:t>Descent (DTD) relies on two pri</w:t>
      </w:r>
      <w:r w:rsidRPr="00B7289D">
        <w:rPr>
          <w:rFonts w:ascii="Times New Roman" w:hAnsi="Times New Roman" w:cs="Times New Roman"/>
          <w:sz w:val="18"/>
          <w:szCs w:val="18"/>
        </w:rPr>
        <w:t>mary hyperparameters to contro</w:t>
      </w:r>
      <w:r>
        <w:rPr>
          <w:rFonts w:ascii="Times New Roman" w:hAnsi="Times New Roman" w:cs="Times New Roman"/>
          <w:sz w:val="18"/>
          <w:szCs w:val="18"/>
        </w:rPr>
        <w:t>l learning rate adap</w:t>
      </w:r>
      <w:r w:rsidRPr="00B7289D">
        <w:rPr>
          <w:rFonts w:ascii="Times New Roman" w:hAnsi="Times New Roman" w:cs="Times New Roman"/>
          <w:sz w:val="18"/>
          <w:szCs w:val="18"/>
        </w:rPr>
        <w:t>tation: the increase factor α and the decrease factor δ. These parameters g</w:t>
      </w:r>
      <w:r>
        <w:rPr>
          <w:rFonts w:ascii="Times New Roman" w:hAnsi="Times New Roman" w:cs="Times New Roman"/>
          <w:sz w:val="18"/>
          <w:szCs w:val="18"/>
        </w:rPr>
        <w:t>overn how aggressively the opti</w:t>
      </w:r>
      <w:r w:rsidRPr="00B7289D">
        <w:rPr>
          <w:rFonts w:ascii="Times New Roman" w:hAnsi="Times New Roman" w:cs="Times New Roman"/>
          <w:sz w:val="18"/>
          <w:szCs w:val="18"/>
        </w:rPr>
        <w:t>mizer responds to local gradient stability or instability during training. To evalu</w:t>
      </w:r>
      <w:r>
        <w:rPr>
          <w:rFonts w:ascii="Times New Roman" w:hAnsi="Times New Roman" w:cs="Times New Roman"/>
          <w:sz w:val="18"/>
          <w:szCs w:val="18"/>
        </w:rPr>
        <w:t>ate the impact of these hyperpa</w:t>
      </w:r>
      <w:r w:rsidRPr="00B7289D">
        <w:rPr>
          <w:rFonts w:ascii="Times New Roman" w:hAnsi="Times New Roman" w:cs="Times New Roman"/>
          <w:sz w:val="18"/>
          <w:szCs w:val="18"/>
        </w:rPr>
        <w:t xml:space="preserve">rameters, we performed a grid search over the range α </w:t>
      </w:r>
      <w:r w:rsidRPr="00B7289D">
        <w:rPr>
          <w:rFonts w:ascii="Cambria Math" w:hAnsi="Cambria Math" w:cs="Cambria Math"/>
          <w:sz w:val="18"/>
          <w:szCs w:val="18"/>
        </w:rPr>
        <w:t>∈</w:t>
      </w:r>
      <w:r w:rsidRPr="00B7289D">
        <w:rPr>
          <w:rFonts w:ascii="Times New Roman" w:hAnsi="Times New Roman" w:cs="Times New Roman"/>
          <w:sz w:val="18"/>
          <w:szCs w:val="18"/>
        </w:rPr>
        <w:t xml:space="preserve"> {0.01,0.03,0.05,0.07,0.09} and δ </w:t>
      </w:r>
      <w:r w:rsidRPr="00B7289D">
        <w:rPr>
          <w:rFonts w:ascii="Cambria Math" w:hAnsi="Cambria Math" w:cs="Cambria Math"/>
          <w:sz w:val="18"/>
          <w:szCs w:val="18"/>
        </w:rPr>
        <w:t>∈</w:t>
      </w:r>
      <w:r w:rsidRPr="00B7289D">
        <w:rPr>
          <w:rFonts w:ascii="Times New Roman" w:hAnsi="Times New Roman" w:cs="Times New Roman"/>
          <w:sz w:val="18"/>
          <w:szCs w:val="18"/>
        </w:rPr>
        <w:t xml:space="preserve"> {0.01,0.02,0.03,0.04,0.05} using the MNIST dataset. For each configuration, we recorded both the number of epochs required to reach 90% validation accuracy and the final test accuracy. </w:t>
      </w:r>
    </w:p>
    <w:p w:rsidR="00B7289D" w:rsidRDefault="00B7289D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7289D">
        <w:rPr>
          <w:rFonts w:ascii="Times New Roman" w:hAnsi="Times New Roman" w:cs="Times New Roman"/>
          <w:sz w:val="18"/>
          <w:szCs w:val="18"/>
        </w:rPr>
        <w:t>Our analysis revea</w:t>
      </w:r>
      <w:r>
        <w:rPr>
          <w:rFonts w:ascii="Times New Roman" w:hAnsi="Times New Roman" w:cs="Times New Roman"/>
          <w:sz w:val="18"/>
          <w:szCs w:val="18"/>
        </w:rPr>
        <w:t>led that smaller values of α re</w:t>
      </w:r>
      <w:r w:rsidRPr="00B7289D">
        <w:rPr>
          <w:rFonts w:ascii="Times New Roman" w:hAnsi="Times New Roman" w:cs="Times New Roman"/>
          <w:sz w:val="18"/>
          <w:szCs w:val="18"/>
        </w:rPr>
        <w:t>sulted in more stable</w:t>
      </w:r>
      <w:r>
        <w:rPr>
          <w:rFonts w:ascii="Times New Roman" w:hAnsi="Times New Roman" w:cs="Times New Roman"/>
          <w:sz w:val="18"/>
          <w:szCs w:val="18"/>
        </w:rPr>
        <w:t xml:space="preserve"> but slower convergence. In con</w:t>
      </w:r>
      <w:r w:rsidRPr="00B7289D">
        <w:rPr>
          <w:rFonts w:ascii="Times New Roman" w:hAnsi="Times New Roman" w:cs="Times New Roman"/>
          <w:sz w:val="18"/>
          <w:szCs w:val="18"/>
        </w:rPr>
        <w:t>trast, larger α values (</w:t>
      </w:r>
      <w:r>
        <w:rPr>
          <w:rFonts w:ascii="Times New Roman" w:hAnsi="Times New Roman" w:cs="Times New Roman"/>
          <w:sz w:val="18"/>
          <w:szCs w:val="18"/>
        </w:rPr>
        <w:t>e.g., &gt; 0.07) accelerated learn</w:t>
      </w:r>
      <w:r w:rsidRPr="00B7289D">
        <w:rPr>
          <w:rFonts w:ascii="Times New Roman" w:hAnsi="Times New Roman" w:cs="Times New Roman"/>
          <w:sz w:val="18"/>
          <w:szCs w:val="18"/>
        </w:rPr>
        <w:t>ing initially but led to oscillatory behavior and reduced generalization. Similarly, when δ was set too low (e.g., &lt; 0.02), the optimize</w:t>
      </w:r>
      <w:r>
        <w:rPr>
          <w:rFonts w:ascii="Times New Roman" w:hAnsi="Times New Roman" w:cs="Times New Roman"/>
          <w:sz w:val="18"/>
          <w:szCs w:val="18"/>
        </w:rPr>
        <w:t>r responded too slowly to unsta</w:t>
      </w:r>
      <w:r w:rsidRPr="00B7289D">
        <w:rPr>
          <w:rFonts w:ascii="Times New Roman" w:hAnsi="Times New Roman" w:cs="Times New Roman"/>
          <w:sz w:val="18"/>
          <w:szCs w:val="18"/>
        </w:rPr>
        <w:t xml:space="preserve">ble gradients, causing prolonged divergence periods. </w:t>
      </w:r>
    </w:p>
    <w:p w:rsidR="00B7289D" w:rsidRDefault="00B7289D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7289D">
        <w:rPr>
          <w:rFonts w:ascii="Times New Roman" w:hAnsi="Times New Roman" w:cs="Times New Roman"/>
          <w:sz w:val="18"/>
          <w:szCs w:val="18"/>
        </w:rPr>
        <w:t>The optimal configuration was observed at α = 0.05 and δ = 0.03, wh</w:t>
      </w:r>
      <w:r>
        <w:rPr>
          <w:rFonts w:ascii="Times New Roman" w:hAnsi="Times New Roman" w:cs="Times New Roman"/>
          <w:sz w:val="18"/>
          <w:szCs w:val="18"/>
        </w:rPr>
        <w:t>ere DTD achieved the best trade</w:t>
      </w:r>
      <w:r w:rsidRPr="00B7289D">
        <w:rPr>
          <w:rFonts w:ascii="Times New Roman" w:hAnsi="Times New Roman" w:cs="Times New Roman"/>
          <w:sz w:val="18"/>
          <w:szCs w:val="18"/>
        </w:rPr>
        <w:t xml:space="preserve">off between responsiveness and stability. This setting was used for all remaining experiments unless specified otherwise. </w:t>
      </w:r>
    </w:p>
    <w:p w:rsidR="00BE5EC3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DC6A5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1552" behindDoc="1" locked="0" layoutInCell="1" allowOverlap="1" wp14:anchorId="70730817" wp14:editId="080A47D4">
            <wp:simplePos x="0" y="0"/>
            <wp:positionH relativeFrom="column">
              <wp:posOffset>0</wp:posOffset>
            </wp:positionH>
            <wp:positionV relativeFrom="paragraph">
              <wp:posOffset>539750</wp:posOffset>
            </wp:positionV>
            <wp:extent cx="2937510" cy="2261870"/>
            <wp:effectExtent l="0" t="0" r="0" b="5080"/>
            <wp:wrapThrough wrapText="bothSides">
              <wp:wrapPolygon edited="0">
                <wp:start x="0" y="0"/>
                <wp:lineTo x="0" y="21467"/>
                <wp:lineTo x="21432" y="21467"/>
                <wp:lineTo x="21432" y="0"/>
                <wp:lineTo x="0" y="0"/>
              </wp:wrapPolygon>
            </wp:wrapThrough>
            <wp:docPr id="16" name="Picture 16" descr="C:\Users\ADMIN\Downloads\s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ampl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89D" w:rsidRPr="00B7289D">
        <w:rPr>
          <w:rFonts w:ascii="Times New Roman" w:hAnsi="Times New Roman" w:cs="Times New Roman"/>
          <w:sz w:val="18"/>
          <w:szCs w:val="18"/>
        </w:rPr>
        <w:t>Figure 2 presents the validation accuracy heatmap across combinations of α and δ, clearly illustrating the</w:t>
      </w:r>
      <w:r w:rsidR="00B7289D">
        <w:rPr>
          <w:rFonts w:ascii="Times New Roman" w:hAnsi="Times New Roman" w:cs="Times New Roman"/>
          <w:sz w:val="18"/>
          <w:szCs w:val="18"/>
        </w:rPr>
        <w:t xml:space="preserve"> </w:t>
      </w:r>
      <w:r w:rsidR="00B7289D" w:rsidRPr="00B7289D">
        <w:rPr>
          <w:rFonts w:ascii="Times New Roman" w:hAnsi="Times New Roman" w:cs="Times New Roman"/>
          <w:sz w:val="18"/>
          <w:szCs w:val="18"/>
        </w:rPr>
        <w:t>peak performance region near the selected values.</w:t>
      </w:r>
    </w:p>
    <w:p w:rsidR="00BE5EC3" w:rsidRPr="00BE5EC3" w:rsidRDefault="00BE5EC3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C3">
        <w:rPr>
          <w:rFonts w:ascii="Times New Roman" w:hAnsi="Times New Roman" w:cs="Times New Roman"/>
          <w:b/>
          <w:sz w:val="24"/>
          <w:szCs w:val="24"/>
        </w:rPr>
        <w:t xml:space="preserve">Discussion </w:t>
      </w:r>
    </w:p>
    <w:p w:rsidR="00BE5EC3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E5EC3">
        <w:rPr>
          <w:rFonts w:ascii="Times New Roman" w:hAnsi="Times New Roman" w:cs="Times New Roman"/>
          <w:sz w:val="18"/>
          <w:szCs w:val="18"/>
        </w:rPr>
        <w:t xml:space="preserve">The results of our </w:t>
      </w:r>
      <w:r>
        <w:rPr>
          <w:rFonts w:ascii="Times New Roman" w:hAnsi="Times New Roman" w:cs="Times New Roman"/>
          <w:sz w:val="18"/>
          <w:szCs w:val="18"/>
        </w:rPr>
        <w:t>experiments highlight the effec</w:t>
      </w:r>
      <w:r w:rsidRPr="00BE5EC3">
        <w:rPr>
          <w:rFonts w:ascii="Times New Roman" w:hAnsi="Times New Roman" w:cs="Times New Roman"/>
          <w:sz w:val="18"/>
          <w:szCs w:val="18"/>
        </w:rPr>
        <w:t xml:space="preserve">tiveness of Dynamic Threshold Descent (DTD) as a lightweight and adaptive learning rate optimizer for deep neural network </w:t>
      </w:r>
      <w:r>
        <w:rPr>
          <w:rFonts w:ascii="Times New Roman" w:hAnsi="Times New Roman" w:cs="Times New Roman"/>
          <w:sz w:val="18"/>
          <w:szCs w:val="18"/>
        </w:rPr>
        <w:t>training. Unlike traditional op</w:t>
      </w:r>
      <w:r w:rsidRPr="00BE5EC3">
        <w:rPr>
          <w:rFonts w:ascii="Times New Roman" w:hAnsi="Times New Roman" w:cs="Times New Roman"/>
          <w:sz w:val="18"/>
          <w:szCs w:val="18"/>
        </w:rPr>
        <w:t xml:space="preserve">timizers such as Adam and </w:t>
      </w:r>
      <w:proofErr w:type="spellStart"/>
      <w:r w:rsidRPr="00BE5EC3">
        <w:rPr>
          <w:rFonts w:ascii="Times New Roman" w:hAnsi="Times New Roman" w:cs="Times New Roman"/>
          <w:sz w:val="18"/>
          <w:szCs w:val="18"/>
        </w:rPr>
        <w:t>RMSprop</w:t>
      </w:r>
      <w:proofErr w:type="spellEnd"/>
      <w:r w:rsidRPr="00BE5EC3">
        <w:rPr>
          <w:rFonts w:ascii="Times New Roman" w:hAnsi="Times New Roman" w:cs="Times New Roman"/>
          <w:sz w:val="18"/>
          <w:szCs w:val="18"/>
        </w:rPr>
        <w:t>, which rely on moving averages of historical gradients, DTD reacts to real-time batch dyn</w:t>
      </w:r>
      <w:r>
        <w:rPr>
          <w:rFonts w:ascii="Times New Roman" w:hAnsi="Times New Roman" w:cs="Times New Roman"/>
          <w:sz w:val="18"/>
          <w:szCs w:val="18"/>
        </w:rPr>
        <w:t>amics without maintaining auxil</w:t>
      </w:r>
      <w:r w:rsidRPr="00BE5EC3">
        <w:rPr>
          <w:rFonts w:ascii="Times New Roman" w:hAnsi="Times New Roman" w:cs="Times New Roman"/>
          <w:sz w:val="18"/>
          <w:szCs w:val="18"/>
        </w:rPr>
        <w:t xml:space="preserve">iary state variables. This stateless design contributes to reduced memory </w:t>
      </w:r>
      <w:r>
        <w:rPr>
          <w:rFonts w:ascii="Times New Roman" w:hAnsi="Times New Roman" w:cs="Times New Roman"/>
          <w:sz w:val="18"/>
          <w:szCs w:val="18"/>
        </w:rPr>
        <w:t>usage and computational simplic</w:t>
      </w:r>
      <w:r w:rsidRPr="00BE5EC3">
        <w:rPr>
          <w:rFonts w:ascii="Times New Roman" w:hAnsi="Times New Roman" w:cs="Times New Roman"/>
          <w:sz w:val="18"/>
          <w:szCs w:val="18"/>
        </w:rPr>
        <w:t xml:space="preserve">ity, making DTD suitable for deployment in edge de vices and memory-constrained environments. </w:t>
      </w:r>
    </w:p>
    <w:p w:rsidR="00BE5EC3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E5EC3">
        <w:rPr>
          <w:rFonts w:ascii="Times New Roman" w:hAnsi="Times New Roman" w:cs="Times New Roman"/>
          <w:sz w:val="18"/>
          <w:szCs w:val="18"/>
        </w:rPr>
        <w:t>One of the key st</w:t>
      </w:r>
      <w:r>
        <w:rPr>
          <w:rFonts w:ascii="Times New Roman" w:hAnsi="Times New Roman" w:cs="Times New Roman"/>
          <w:sz w:val="18"/>
          <w:szCs w:val="18"/>
        </w:rPr>
        <w:t>rengths of DTD lies in its abil</w:t>
      </w:r>
      <w:r w:rsidRPr="00BE5EC3">
        <w:rPr>
          <w:rFonts w:ascii="Times New Roman" w:hAnsi="Times New Roman" w:cs="Times New Roman"/>
          <w:sz w:val="18"/>
          <w:szCs w:val="18"/>
        </w:rPr>
        <w:t xml:space="preserve">ity to quickly adjust during stable gradient phases and scale back updates when instability is detected. This allows the optimizer to maintain a stable trajectory through the loss surface while preserving momentum free adaptability. The results show that this behavior significantly improves convergence speed without com promising final model accuracy. </w:t>
      </w:r>
    </w:p>
    <w:p w:rsidR="00BE5EC3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E5EC3">
        <w:rPr>
          <w:rFonts w:ascii="Times New Roman" w:hAnsi="Times New Roman" w:cs="Times New Roman"/>
          <w:sz w:val="18"/>
          <w:szCs w:val="18"/>
        </w:rPr>
        <w:t>However, some limitations were observed. In datasets characterized by high noise levels or irregular gradients (e.g., small imbalanced subsets of CIFAR 10), DTD occasionally exhibited premature learning rate reduction, which</w:t>
      </w:r>
      <w:r>
        <w:rPr>
          <w:rFonts w:ascii="Times New Roman" w:hAnsi="Times New Roman" w:cs="Times New Roman"/>
          <w:sz w:val="18"/>
          <w:szCs w:val="18"/>
        </w:rPr>
        <w:t xml:space="preserve"> slowed progress in later train</w:t>
      </w:r>
      <w:r w:rsidRPr="00BE5EC3">
        <w:rPr>
          <w:rFonts w:ascii="Times New Roman" w:hAnsi="Times New Roman" w:cs="Times New Roman"/>
          <w:sz w:val="18"/>
          <w:szCs w:val="18"/>
        </w:rPr>
        <w:t>ing stages. This sugges</w:t>
      </w:r>
      <w:r>
        <w:rPr>
          <w:rFonts w:ascii="Times New Roman" w:hAnsi="Times New Roman" w:cs="Times New Roman"/>
          <w:sz w:val="18"/>
          <w:szCs w:val="18"/>
        </w:rPr>
        <w:t>ts that while DTD is respon</w:t>
      </w:r>
      <w:r w:rsidRPr="00BE5EC3">
        <w:rPr>
          <w:rFonts w:ascii="Times New Roman" w:hAnsi="Times New Roman" w:cs="Times New Roman"/>
          <w:sz w:val="18"/>
          <w:szCs w:val="18"/>
        </w:rPr>
        <w:t xml:space="preserve">sive, it may benefit from further regularization-aware mechanisms that differentiate between useful signal and stochastic fluctuations in gradients. </w:t>
      </w:r>
    </w:p>
    <w:p w:rsidR="00BE5EC3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E5EC3">
        <w:rPr>
          <w:rFonts w:ascii="Times New Roman" w:hAnsi="Times New Roman" w:cs="Times New Roman"/>
          <w:sz w:val="18"/>
          <w:szCs w:val="18"/>
        </w:rPr>
        <w:t xml:space="preserve">Future enhancements could include incorporating dropout-sensitive thresholds or integrating uncertainty estimation into the thresholding logic. Additionally, exploring hybrid variants that combine DTD with global scheduling strategies may offer further robust ness across diverse domains. </w:t>
      </w:r>
    </w:p>
    <w:p w:rsidR="00BE5EC3" w:rsidRDefault="00BE5EC3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BE5EC3">
        <w:rPr>
          <w:rFonts w:ascii="Times New Roman" w:hAnsi="Times New Roman" w:cs="Times New Roman"/>
          <w:sz w:val="18"/>
          <w:szCs w:val="18"/>
        </w:rPr>
        <w:t>Overall, DTD shows strong promise as a practical and interpretable a</w:t>
      </w:r>
      <w:r>
        <w:rPr>
          <w:rFonts w:ascii="Times New Roman" w:hAnsi="Times New Roman" w:cs="Times New Roman"/>
          <w:sz w:val="18"/>
          <w:szCs w:val="18"/>
        </w:rPr>
        <w:t>lternative to momentum-based op</w:t>
      </w:r>
      <w:r w:rsidRPr="00BE5EC3">
        <w:rPr>
          <w:rFonts w:ascii="Times New Roman" w:hAnsi="Times New Roman" w:cs="Times New Roman"/>
          <w:sz w:val="18"/>
          <w:szCs w:val="18"/>
        </w:rPr>
        <w:t>timizers</w:t>
      </w:r>
    </w:p>
    <w:p w:rsidR="008569EB" w:rsidRPr="008569EB" w:rsidRDefault="008569EB" w:rsidP="009E2D44">
      <w:pPr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9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Conclusion </w:t>
      </w:r>
    </w:p>
    <w:p w:rsidR="008569EB" w:rsidRDefault="008569EB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  <w:r w:rsidRPr="008569EB">
        <w:rPr>
          <w:rFonts w:ascii="Times New Roman" w:hAnsi="Times New Roman" w:cs="Times New Roman"/>
          <w:sz w:val="18"/>
          <w:szCs w:val="18"/>
        </w:rPr>
        <w:t xml:space="preserve">In this study, we introduced Dynamic Threshold De scent (DTD), a novel adaptive learning rate optimizer that dynamically adjusts its update strategy based on local gradient behavior. Unlike traditional optimizers such as SGD or Adam, DTD focuses on real-time </w:t>
      </w:r>
      <w:proofErr w:type="spellStart"/>
      <w:r w:rsidRPr="008569EB">
        <w:rPr>
          <w:rFonts w:ascii="Times New Roman" w:hAnsi="Times New Roman" w:cs="Times New Roman"/>
          <w:sz w:val="18"/>
          <w:szCs w:val="18"/>
        </w:rPr>
        <w:t>feed back</w:t>
      </w:r>
      <w:proofErr w:type="spellEnd"/>
      <w:r w:rsidRPr="008569EB">
        <w:rPr>
          <w:rFonts w:ascii="Times New Roman" w:hAnsi="Times New Roman" w:cs="Times New Roman"/>
          <w:sz w:val="18"/>
          <w:szCs w:val="18"/>
        </w:rPr>
        <w:t xml:space="preserve"> from batch-level statistics, allowing it to react quickly to changing learning dynamics without relying on historical momentum or predefined decay schedules. Through extensive experiments on MNIST, Fashion MNIST, and CIFAR-10, we demonstrated that DTD achieves convergence significantly faster than widely used baselines, while </w:t>
      </w:r>
      <w:r w:rsidR="00835471">
        <w:rPr>
          <w:rFonts w:ascii="Times New Roman" w:hAnsi="Times New Roman" w:cs="Times New Roman"/>
          <w:sz w:val="18"/>
          <w:szCs w:val="18"/>
        </w:rPr>
        <w:t>maintaining competitive or supe</w:t>
      </w:r>
      <w:r w:rsidRPr="008569EB">
        <w:rPr>
          <w:rFonts w:ascii="Times New Roman" w:hAnsi="Times New Roman" w:cs="Times New Roman"/>
          <w:sz w:val="18"/>
          <w:szCs w:val="18"/>
        </w:rPr>
        <w:t>rior accuracy. Its lightweight nature, minimal memory footprint, and intuitive hyperparameter design make it an appealing opt</w:t>
      </w:r>
      <w:r w:rsidR="00835471">
        <w:rPr>
          <w:rFonts w:ascii="Times New Roman" w:hAnsi="Times New Roman" w:cs="Times New Roman"/>
          <w:sz w:val="18"/>
          <w:szCs w:val="18"/>
        </w:rPr>
        <w:t>ion for both academic experimen</w:t>
      </w:r>
      <w:r w:rsidRPr="008569EB">
        <w:rPr>
          <w:rFonts w:ascii="Times New Roman" w:hAnsi="Times New Roman" w:cs="Times New Roman"/>
          <w:sz w:val="18"/>
          <w:szCs w:val="18"/>
        </w:rPr>
        <w:t>tation and real-world</w:t>
      </w:r>
      <w:r w:rsidR="00835471">
        <w:rPr>
          <w:rFonts w:ascii="Times New Roman" w:hAnsi="Times New Roman" w:cs="Times New Roman"/>
          <w:sz w:val="18"/>
          <w:szCs w:val="18"/>
        </w:rPr>
        <w:t xml:space="preserve"> deployment in constrained envi</w:t>
      </w:r>
      <w:r w:rsidRPr="008569EB">
        <w:rPr>
          <w:rFonts w:ascii="Times New Roman" w:hAnsi="Times New Roman" w:cs="Times New Roman"/>
          <w:sz w:val="18"/>
          <w:szCs w:val="18"/>
        </w:rPr>
        <w:t>ronments. Despite its strong performance, DTD does exhibit limitations in noisy or highly irregular training regimes. Future work will ex</w:t>
      </w:r>
      <w:r w:rsidR="00835471">
        <w:rPr>
          <w:rFonts w:ascii="Times New Roman" w:hAnsi="Times New Roman" w:cs="Times New Roman"/>
          <w:sz w:val="18"/>
          <w:szCs w:val="18"/>
        </w:rPr>
        <w:t>plore enhancements such as inte</w:t>
      </w:r>
      <w:r w:rsidRPr="008569EB">
        <w:rPr>
          <w:rFonts w:ascii="Times New Roman" w:hAnsi="Times New Roman" w:cs="Times New Roman"/>
          <w:sz w:val="18"/>
          <w:szCs w:val="18"/>
        </w:rPr>
        <w:t>grating regularizatio</w:t>
      </w:r>
      <w:r w:rsidR="00835471">
        <w:rPr>
          <w:rFonts w:ascii="Times New Roman" w:hAnsi="Times New Roman" w:cs="Times New Roman"/>
          <w:sz w:val="18"/>
          <w:szCs w:val="18"/>
        </w:rPr>
        <w:t>n-awareness or dropout sensitiv</w:t>
      </w:r>
      <w:r w:rsidRPr="008569EB">
        <w:rPr>
          <w:rFonts w:ascii="Times New Roman" w:hAnsi="Times New Roman" w:cs="Times New Roman"/>
          <w:sz w:val="18"/>
          <w:szCs w:val="18"/>
        </w:rPr>
        <w:t xml:space="preserve">ity to further refine its adaptability. Additionally, ex tending the use </w:t>
      </w:r>
      <w:r w:rsidR="00835471">
        <w:rPr>
          <w:rFonts w:ascii="Times New Roman" w:hAnsi="Times New Roman" w:cs="Times New Roman"/>
          <w:sz w:val="18"/>
          <w:szCs w:val="18"/>
        </w:rPr>
        <w:t>of DTD to more complex architec</w:t>
      </w:r>
      <w:r w:rsidRPr="008569EB">
        <w:rPr>
          <w:rFonts w:ascii="Times New Roman" w:hAnsi="Times New Roman" w:cs="Times New Roman"/>
          <w:sz w:val="18"/>
          <w:szCs w:val="18"/>
        </w:rPr>
        <w:t xml:space="preserve">tures, including Transformer-based models and </w:t>
      </w:r>
      <w:proofErr w:type="gramStart"/>
      <w:r w:rsidRPr="008569EB">
        <w:rPr>
          <w:rFonts w:ascii="Times New Roman" w:hAnsi="Times New Roman" w:cs="Times New Roman"/>
          <w:sz w:val="18"/>
          <w:szCs w:val="18"/>
        </w:rPr>
        <w:t>large scale</w:t>
      </w:r>
      <w:proofErr w:type="gramEnd"/>
      <w:r w:rsidRPr="008569EB">
        <w:rPr>
          <w:rFonts w:ascii="Times New Roman" w:hAnsi="Times New Roman" w:cs="Times New Roman"/>
          <w:sz w:val="18"/>
          <w:szCs w:val="18"/>
        </w:rPr>
        <w:t xml:space="preserve"> datasets such as ImageNet, will help evaluate its generalization and scalability. Overall, DTD offers</w:t>
      </w:r>
      <w:r w:rsidR="00835471">
        <w:rPr>
          <w:rFonts w:ascii="Times New Roman" w:hAnsi="Times New Roman" w:cs="Times New Roman"/>
          <w:sz w:val="18"/>
          <w:szCs w:val="18"/>
        </w:rPr>
        <w:t xml:space="preserve"> a practical and effective opti</w:t>
      </w:r>
      <w:r w:rsidRPr="008569EB">
        <w:rPr>
          <w:rFonts w:ascii="Times New Roman" w:hAnsi="Times New Roman" w:cs="Times New Roman"/>
          <w:sz w:val="18"/>
          <w:szCs w:val="18"/>
        </w:rPr>
        <w:t>mization strategy th</w:t>
      </w:r>
      <w:r w:rsidR="00835471">
        <w:rPr>
          <w:rFonts w:ascii="Times New Roman" w:hAnsi="Times New Roman" w:cs="Times New Roman"/>
          <w:sz w:val="18"/>
          <w:szCs w:val="18"/>
        </w:rPr>
        <w:t>at encourages faster, more adap</w:t>
      </w:r>
      <w:r w:rsidRPr="008569EB">
        <w:rPr>
          <w:rFonts w:ascii="Times New Roman" w:hAnsi="Times New Roman" w:cs="Times New Roman"/>
          <w:sz w:val="18"/>
          <w:szCs w:val="18"/>
        </w:rPr>
        <w:t>tive learning—laying</w:t>
      </w:r>
      <w:r w:rsidR="00835471">
        <w:rPr>
          <w:rFonts w:ascii="Times New Roman" w:hAnsi="Times New Roman" w:cs="Times New Roman"/>
          <w:sz w:val="18"/>
          <w:szCs w:val="18"/>
        </w:rPr>
        <w:t xml:space="preserve"> the groundwork for more respon</w:t>
      </w:r>
      <w:r w:rsidRPr="008569EB">
        <w:rPr>
          <w:rFonts w:ascii="Times New Roman" w:hAnsi="Times New Roman" w:cs="Times New Roman"/>
          <w:sz w:val="18"/>
          <w:szCs w:val="18"/>
        </w:rPr>
        <w:t>sive and intelligent training mechanisms in modern deep learning systems.</w:t>
      </w:r>
    </w:p>
    <w:p w:rsidR="00273E7E" w:rsidRDefault="00273E7E" w:rsidP="009E2D44">
      <w:pPr>
        <w:ind w:right="90"/>
        <w:jc w:val="both"/>
        <w:rPr>
          <w:rFonts w:ascii="Times New Roman" w:hAnsi="Times New Roman" w:cs="Times New Roman"/>
          <w:sz w:val="18"/>
          <w:szCs w:val="18"/>
        </w:rPr>
      </w:pPr>
    </w:p>
    <w:p w:rsidR="008569EB" w:rsidRDefault="008569EB" w:rsidP="009E2D44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8569EB">
        <w:rPr>
          <w:rFonts w:ascii="Times New Roman" w:hAnsi="Times New Roman" w:cs="Times New Roman"/>
          <w:sz w:val="24"/>
          <w:szCs w:val="24"/>
        </w:rPr>
        <w:t>References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69EB">
        <w:rPr>
          <w:rFonts w:ascii="Times New Roman" w:hAnsi="Times New Roman" w:cs="Times New Roman"/>
          <w:i/>
          <w:sz w:val="18"/>
          <w:szCs w:val="18"/>
        </w:rPr>
        <w:t xml:space="preserve">Fernandez, M., &amp; Kim, D. (2021). </w:t>
      </w:r>
      <w:proofErr w:type="spellStart"/>
      <w:r w:rsidRPr="008569EB">
        <w:rPr>
          <w:rFonts w:ascii="Times New Roman" w:hAnsi="Times New Roman" w:cs="Times New Roman"/>
          <w:i/>
          <w:sz w:val="18"/>
          <w:szCs w:val="18"/>
        </w:rPr>
        <w:t>Fastadapt</w:t>
      </w:r>
      <w:proofErr w:type="spellEnd"/>
      <w:r w:rsidRPr="008569EB">
        <w:rPr>
          <w:rFonts w:ascii="Times New Roman" w:hAnsi="Times New Roman" w:cs="Times New Roman"/>
          <w:i/>
          <w:sz w:val="18"/>
          <w:szCs w:val="18"/>
        </w:rPr>
        <w:t>: Learning rate control with feedback loops. Transactions on Neural Computation, 19(2), 345–362.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69EB">
        <w:rPr>
          <w:rFonts w:ascii="Times New Roman" w:hAnsi="Times New Roman" w:cs="Times New Roman"/>
          <w:i/>
          <w:sz w:val="18"/>
          <w:szCs w:val="18"/>
        </w:rPr>
        <w:t xml:space="preserve">Garcia, I., &amp; Rao, M. (2020). Context-aware optimizers for sequential </w:t>
      </w:r>
      <w:r w:rsidR="003A0AC4">
        <w:rPr>
          <w:rFonts w:ascii="Times New Roman" w:hAnsi="Times New Roman" w:cs="Times New Roman"/>
          <w:i/>
          <w:sz w:val="18"/>
          <w:szCs w:val="18"/>
        </w:rPr>
        <w:t>learning tasks. Pattern Recogni</w:t>
      </w:r>
      <w:r w:rsidRPr="008569EB">
        <w:rPr>
          <w:rFonts w:ascii="Times New Roman" w:hAnsi="Times New Roman" w:cs="Times New Roman"/>
          <w:i/>
          <w:sz w:val="18"/>
          <w:szCs w:val="18"/>
        </w:rPr>
        <w:t xml:space="preserve">tion Letters, 145, 55–63. 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8569EB">
        <w:rPr>
          <w:rFonts w:ascii="Times New Roman" w:hAnsi="Times New Roman" w:cs="Times New Roman"/>
          <w:i/>
          <w:sz w:val="18"/>
          <w:szCs w:val="18"/>
        </w:rPr>
        <w:t>Kingma</w:t>
      </w:r>
      <w:proofErr w:type="spellEnd"/>
      <w:r w:rsidRPr="008569EB">
        <w:rPr>
          <w:rFonts w:ascii="Times New Roman" w:hAnsi="Times New Roman" w:cs="Times New Roman"/>
          <w:i/>
          <w:sz w:val="18"/>
          <w:szCs w:val="18"/>
        </w:rPr>
        <w:t>, D. P., &amp; Ba, J. (2015). Adam: A method for stochastic opt</w:t>
      </w:r>
      <w:r w:rsidR="003A0AC4">
        <w:rPr>
          <w:rFonts w:ascii="Times New Roman" w:hAnsi="Times New Roman" w:cs="Times New Roman"/>
          <w:i/>
          <w:sz w:val="18"/>
          <w:szCs w:val="18"/>
        </w:rPr>
        <w:t>imization. International Confer</w:t>
      </w:r>
      <w:r w:rsidRPr="008569EB">
        <w:rPr>
          <w:rFonts w:ascii="Times New Roman" w:hAnsi="Times New Roman" w:cs="Times New Roman"/>
          <w:i/>
          <w:sz w:val="18"/>
          <w:szCs w:val="18"/>
        </w:rPr>
        <w:t xml:space="preserve">ence on Learning Representations (ICLR). 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69EB">
        <w:rPr>
          <w:rFonts w:ascii="Times New Roman" w:hAnsi="Times New Roman" w:cs="Times New Roman"/>
          <w:i/>
          <w:sz w:val="18"/>
          <w:szCs w:val="18"/>
        </w:rPr>
        <w:t xml:space="preserve">Lee, J., &amp; Venkatesh, A. (2022). </w:t>
      </w:r>
      <w:proofErr w:type="spellStart"/>
      <w:r w:rsidRPr="008569EB">
        <w:rPr>
          <w:rFonts w:ascii="Times New Roman" w:hAnsi="Times New Roman" w:cs="Times New Roman"/>
          <w:i/>
          <w:sz w:val="18"/>
          <w:szCs w:val="18"/>
        </w:rPr>
        <w:t>Noschedule</w:t>
      </w:r>
      <w:proofErr w:type="spellEnd"/>
      <w:r w:rsidRPr="008569EB">
        <w:rPr>
          <w:rFonts w:ascii="Times New Roman" w:hAnsi="Times New Roman" w:cs="Times New Roman"/>
          <w:i/>
          <w:sz w:val="18"/>
          <w:szCs w:val="18"/>
        </w:rPr>
        <w:t>: Learning rate free opti</w:t>
      </w:r>
      <w:r w:rsidR="003A0AC4">
        <w:rPr>
          <w:rFonts w:ascii="Times New Roman" w:hAnsi="Times New Roman" w:cs="Times New Roman"/>
          <w:i/>
          <w:sz w:val="18"/>
          <w:szCs w:val="18"/>
        </w:rPr>
        <w:t xml:space="preserve">mization in </w:t>
      </w:r>
      <w:proofErr w:type="spellStart"/>
      <w:r w:rsidR="003A0AC4">
        <w:rPr>
          <w:rFonts w:ascii="Times New Roman" w:hAnsi="Times New Roman" w:cs="Times New Roman"/>
          <w:i/>
          <w:sz w:val="18"/>
          <w:szCs w:val="18"/>
        </w:rPr>
        <w:t>dnns</w:t>
      </w:r>
      <w:proofErr w:type="spellEnd"/>
      <w:r w:rsidR="003A0AC4">
        <w:rPr>
          <w:rFonts w:ascii="Times New Roman" w:hAnsi="Times New Roman" w:cs="Times New Roman"/>
          <w:i/>
          <w:sz w:val="18"/>
          <w:szCs w:val="18"/>
        </w:rPr>
        <w:t>. Machine Learn</w:t>
      </w:r>
      <w:r w:rsidRPr="008569EB">
        <w:rPr>
          <w:rFonts w:ascii="Times New Roman" w:hAnsi="Times New Roman" w:cs="Times New Roman"/>
          <w:i/>
          <w:sz w:val="18"/>
          <w:szCs w:val="18"/>
        </w:rPr>
        <w:t xml:space="preserve">ing Reports, 17(1), 87–101. 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69EB">
        <w:rPr>
          <w:rFonts w:ascii="Times New Roman" w:hAnsi="Times New Roman" w:cs="Times New Roman"/>
          <w:i/>
          <w:sz w:val="18"/>
          <w:szCs w:val="18"/>
        </w:rPr>
        <w:t xml:space="preserve">Li, H., &amp; Chen, M. (2023). Adaptive gradient descent with layer-wise variance control. Journal of Machine Learning Optimization, 12(3), 245 258. 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69EB">
        <w:rPr>
          <w:rFonts w:ascii="Times New Roman" w:hAnsi="Times New Roman" w:cs="Times New Roman"/>
          <w:i/>
          <w:sz w:val="18"/>
          <w:szCs w:val="18"/>
        </w:rPr>
        <w:t xml:space="preserve">Murthy, N., &amp; Ahmed, Z. (2021). Threshold-based scheduling in </w:t>
      </w:r>
      <w:r>
        <w:rPr>
          <w:rFonts w:ascii="Times New Roman" w:hAnsi="Times New Roman" w:cs="Times New Roman"/>
          <w:i/>
          <w:sz w:val="18"/>
          <w:szCs w:val="18"/>
        </w:rPr>
        <w:t>deep neural optimization. Inter</w:t>
      </w:r>
      <w:r w:rsidRPr="008569EB">
        <w:rPr>
          <w:rFonts w:ascii="Times New Roman" w:hAnsi="Times New Roman" w:cs="Times New Roman"/>
          <w:i/>
          <w:sz w:val="18"/>
          <w:szCs w:val="18"/>
        </w:rPr>
        <w:t xml:space="preserve">national Journal of Intelligent Systems, 36(6), 2122–2139. </w:t>
      </w:r>
    </w:p>
    <w:p w:rsidR="008569EB" w:rsidRDefault="008569EB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69EB">
        <w:rPr>
          <w:rFonts w:ascii="Times New Roman" w:hAnsi="Times New Roman" w:cs="Times New Roman"/>
          <w:i/>
          <w:sz w:val="18"/>
          <w:szCs w:val="18"/>
        </w:rPr>
        <w:t>Nguyen, T., &amp; Brooks, C. (2020). Adaptive optimizers in deep learning: A survey. Journal of Artificial Intelligence Research, 68, 1121–1149.</w:t>
      </w:r>
    </w:p>
    <w:p w:rsidR="003A0AC4" w:rsidRDefault="003A0AC4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3A0AC4">
        <w:rPr>
          <w:rFonts w:ascii="Times New Roman" w:hAnsi="Times New Roman" w:cs="Times New Roman"/>
          <w:i/>
          <w:sz w:val="18"/>
          <w:szCs w:val="18"/>
        </w:rPr>
        <w:t>Tieleman</w:t>
      </w:r>
      <w:proofErr w:type="spellEnd"/>
      <w:r w:rsidRPr="003A0AC4">
        <w:rPr>
          <w:rFonts w:ascii="Times New Roman" w:hAnsi="Times New Roman" w:cs="Times New Roman"/>
          <w:i/>
          <w:sz w:val="18"/>
          <w:szCs w:val="18"/>
        </w:rPr>
        <w:t xml:space="preserve">, T., &amp; Hinton, G. (2012). Lecture 6.5—rm </w:t>
      </w:r>
      <w:proofErr w:type="spellStart"/>
      <w:r w:rsidRPr="003A0AC4">
        <w:rPr>
          <w:rFonts w:ascii="Times New Roman" w:hAnsi="Times New Roman" w:cs="Times New Roman"/>
          <w:i/>
          <w:sz w:val="18"/>
          <w:szCs w:val="18"/>
        </w:rPr>
        <w:t>sprop</w:t>
      </w:r>
      <w:proofErr w:type="spellEnd"/>
      <w:r w:rsidRPr="003A0AC4">
        <w:rPr>
          <w:rFonts w:ascii="Times New Roman" w:hAnsi="Times New Roman" w:cs="Times New Roman"/>
          <w:i/>
          <w:sz w:val="18"/>
          <w:szCs w:val="18"/>
        </w:rPr>
        <w:t>: Divide</w:t>
      </w:r>
      <w:r>
        <w:rPr>
          <w:rFonts w:ascii="Times New Roman" w:hAnsi="Times New Roman" w:cs="Times New Roman"/>
          <w:i/>
          <w:sz w:val="18"/>
          <w:szCs w:val="18"/>
        </w:rPr>
        <w:t xml:space="preserve"> the gradient by a running aver</w:t>
      </w:r>
      <w:r w:rsidRPr="003A0AC4">
        <w:rPr>
          <w:rFonts w:ascii="Times New Roman" w:hAnsi="Times New Roman" w:cs="Times New Roman"/>
          <w:i/>
          <w:sz w:val="18"/>
          <w:szCs w:val="18"/>
        </w:rPr>
        <w:t xml:space="preserve">age of its recent </w:t>
      </w:r>
      <w:r w:rsidRPr="003A0AC4">
        <w:rPr>
          <w:rFonts w:ascii="Times New Roman" w:hAnsi="Times New Roman" w:cs="Times New Roman"/>
          <w:i/>
          <w:sz w:val="18"/>
          <w:szCs w:val="18"/>
        </w:rPr>
        <w:t xml:space="preserve">magnitude. Neural Networks for Machine Learning (Coursera). </w:t>
      </w:r>
    </w:p>
    <w:p w:rsidR="003A0AC4" w:rsidRDefault="003A0AC4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A0AC4">
        <w:rPr>
          <w:rFonts w:ascii="Times New Roman" w:hAnsi="Times New Roman" w:cs="Times New Roman"/>
          <w:i/>
          <w:sz w:val="18"/>
          <w:szCs w:val="18"/>
        </w:rPr>
        <w:t>Wang, L., &amp; Singh, A. (2022). Lightweight learning rate adaptat</w:t>
      </w:r>
      <w:r>
        <w:rPr>
          <w:rFonts w:ascii="Times New Roman" w:hAnsi="Times New Roman" w:cs="Times New Roman"/>
          <w:i/>
          <w:sz w:val="18"/>
          <w:szCs w:val="18"/>
        </w:rPr>
        <w:t>ion for embedded devices. Embed</w:t>
      </w:r>
      <w:r w:rsidRPr="003A0AC4">
        <w:rPr>
          <w:rFonts w:ascii="Times New Roman" w:hAnsi="Times New Roman" w:cs="Times New Roman"/>
          <w:i/>
          <w:sz w:val="18"/>
          <w:szCs w:val="18"/>
        </w:rPr>
        <w:t xml:space="preserve">ded AI Systems, 9(1), 34–48. </w:t>
      </w:r>
    </w:p>
    <w:p w:rsidR="003A0AC4" w:rsidRPr="008569EB" w:rsidRDefault="003A0AC4" w:rsidP="006C43BE">
      <w:pPr>
        <w:ind w:left="720" w:right="91" w:hanging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A0AC4">
        <w:rPr>
          <w:rFonts w:ascii="Times New Roman" w:hAnsi="Times New Roman" w:cs="Times New Roman"/>
          <w:i/>
          <w:sz w:val="18"/>
          <w:szCs w:val="18"/>
        </w:rPr>
        <w:t>Zhou, L., &amp; Patel, S</w:t>
      </w:r>
      <w:r>
        <w:rPr>
          <w:rFonts w:ascii="Times New Roman" w:hAnsi="Times New Roman" w:cs="Times New Roman"/>
          <w:i/>
          <w:sz w:val="18"/>
          <w:szCs w:val="18"/>
        </w:rPr>
        <w:t>. (2022). Variance-sensitive op</w:t>
      </w:r>
      <w:r w:rsidRPr="003A0AC4">
        <w:rPr>
          <w:rFonts w:ascii="Times New Roman" w:hAnsi="Times New Roman" w:cs="Times New Roman"/>
          <w:i/>
          <w:sz w:val="18"/>
          <w:szCs w:val="18"/>
        </w:rPr>
        <w:t>timization for noisy gradient environments. Neural Processing Letters, 56(4), 987–1003.</w:t>
      </w:r>
    </w:p>
    <w:sectPr w:rsidR="003A0AC4" w:rsidRPr="008569EB" w:rsidSect="009E2D44">
      <w:type w:val="continuous"/>
      <w:pgSz w:w="12240" w:h="15840"/>
      <w:pgMar w:top="1134" w:right="1134" w:bottom="709" w:left="1134" w:header="431" w:footer="431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327" w:rsidRDefault="002D4327" w:rsidP="00C07AE9">
      <w:pPr>
        <w:spacing w:after="0" w:line="240" w:lineRule="auto"/>
      </w:pPr>
      <w:r>
        <w:separator/>
      </w:r>
    </w:p>
  </w:endnote>
  <w:endnote w:type="continuationSeparator" w:id="0">
    <w:p w:rsidR="002D4327" w:rsidRDefault="002D4327" w:rsidP="00C0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FCB" w:rsidRPr="001F7194" w:rsidRDefault="00411FCB">
    <w:pPr>
      <w:pStyle w:val="Footer"/>
      <w:rPr>
        <w:rFonts w:ascii="Times New Roman" w:hAnsi="Times New Roman" w:cs="Times New Roman"/>
      </w:rPr>
    </w:pPr>
  </w:p>
  <w:p w:rsidR="003169F4" w:rsidRPr="001F7194" w:rsidRDefault="003169F4">
    <w:pP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72068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7194" w:rsidRPr="00DF7A79" w:rsidRDefault="002D4327" w:rsidP="003C259B">
            <w:pPr>
              <w:pStyle w:val="Footer"/>
              <w:tabs>
                <w:tab w:val="clear" w:pos="9360"/>
                <w:tab w:val="righ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uthor"/>
                <w:tag w:val=""/>
                <w:id w:val="-1685351660"/>
                <w:placeholder>
                  <w:docPart w:val="3AF40D49CFA043C3B721316E02B075B2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3C259B" w:rsidRPr="00DF7A79">
                  <w:rPr>
                    <w:rFonts w:ascii="Times New Roman" w:hAnsi="Times New Roman" w:cs="Times New Roman"/>
                    <w:sz w:val="20"/>
                    <w:szCs w:val="20"/>
                  </w:rPr>
                  <w:t>Emily J. Parker, Nathan R. Coleman and Olivia M. Bennett</w:t>
                </w:r>
              </w:sdtContent>
            </w:sdt>
            <w:r w:rsidR="003C259B" w:rsidRPr="00DF7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59B" w:rsidRPr="00DF7A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1F7194" w:rsidRPr="00DF7A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50DF7" w:rsidRPr="00DF7A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F7194" w:rsidRPr="00DF7A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50DF7" w:rsidRPr="00DF7A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1F7194" w:rsidRPr="00DF7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11FCB" w:rsidRPr="003C259B" w:rsidRDefault="00411FCB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327" w:rsidRDefault="002D4327" w:rsidP="00C07AE9">
      <w:pPr>
        <w:spacing w:after="0" w:line="240" w:lineRule="auto"/>
      </w:pPr>
      <w:r>
        <w:separator/>
      </w:r>
    </w:p>
  </w:footnote>
  <w:footnote w:type="continuationSeparator" w:id="0">
    <w:p w:rsidR="002D4327" w:rsidRDefault="002D4327" w:rsidP="00C0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E9" w:rsidRPr="00C07AE9" w:rsidRDefault="00C07AE9" w:rsidP="00C07AE9">
    <w:pPr>
      <w:pStyle w:val="Header"/>
      <w:jc w:val="right"/>
      <w:rPr>
        <w:rFonts w:ascii="Times New Roman" w:hAnsi="Times New Roman" w:cs="Times New Roman"/>
      </w:rPr>
    </w:pPr>
    <w:r w:rsidRPr="00C07AE9">
      <w:rPr>
        <w:rFonts w:ascii="Times New Roman" w:hAnsi="Times New Roman" w:cs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800E6" wp14:editId="7FA754D6">
              <wp:simplePos x="0" y="0"/>
              <wp:positionH relativeFrom="column">
                <wp:posOffset>3810</wp:posOffset>
              </wp:positionH>
              <wp:positionV relativeFrom="paragraph">
                <wp:posOffset>135890</wp:posOffset>
              </wp:positionV>
              <wp:extent cx="62960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6DC5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0.7pt" to="496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Pr="00C07AE9">
      <w:rPr>
        <w:rFonts w:ascii="Times New Roman" w:hAnsi="Times New Roman" w:cs="Times New Roman"/>
        <w:sz w:val="18"/>
      </w:rPr>
      <w:t>International Conference on Applied Sciences- 2025</w:t>
    </w:r>
  </w:p>
  <w:p w:rsidR="00C07AE9" w:rsidRDefault="00C07AE9">
    <w:pPr>
      <w:pStyle w:val="Header"/>
    </w:pPr>
  </w:p>
  <w:p w:rsidR="003169F4" w:rsidRPr="001F7194" w:rsidRDefault="003169F4">
    <w:pP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NDA3NjGwMDQ0NzJT0lEKTi0uzszPAykwrAUA2CXRySwAAAA="/>
  </w:docVars>
  <w:rsids>
    <w:rsidRoot w:val="00C07AE9"/>
    <w:rsid w:val="00076EB1"/>
    <w:rsid w:val="00084A77"/>
    <w:rsid w:val="000E732C"/>
    <w:rsid w:val="00166244"/>
    <w:rsid w:val="001E4260"/>
    <w:rsid w:val="001E6754"/>
    <w:rsid w:val="001F7194"/>
    <w:rsid w:val="00273E7E"/>
    <w:rsid w:val="002D4327"/>
    <w:rsid w:val="003169F4"/>
    <w:rsid w:val="003A0AC4"/>
    <w:rsid w:val="003C259B"/>
    <w:rsid w:val="00411FCB"/>
    <w:rsid w:val="00440D3B"/>
    <w:rsid w:val="00450DF7"/>
    <w:rsid w:val="004B1213"/>
    <w:rsid w:val="006464A8"/>
    <w:rsid w:val="0064662B"/>
    <w:rsid w:val="006C43BE"/>
    <w:rsid w:val="00727015"/>
    <w:rsid w:val="0078541E"/>
    <w:rsid w:val="007B3AA9"/>
    <w:rsid w:val="007C03FA"/>
    <w:rsid w:val="008145D2"/>
    <w:rsid w:val="00835471"/>
    <w:rsid w:val="008569EB"/>
    <w:rsid w:val="008E732C"/>
    <w:rsid w:val="009E2D44"/>
    <w:rsid w:val="00A67B00"/>
    <w:rsid w:val="00A878B5"/>
    <w:rsid w:val="00B07B17"/>
    <w:rsid w:val="00B7289D"/>
    <w:rsid w:val="00BC0DEE"/>
    <w:rsid w:val="00BE5EC3"/>
    <w:rsid w:val="00C07AE9"/>
    <w:rsid w:val="00C375A9"/>
    <w:rsid w:val="00C97D2F"/>
    <w:rsid w:val="00CC3D68"/>
    <w:rsid w:val="00DA6128"/>
    <w:rsid w:val="00DC6A50"/>
    <w:rsid w:val="00DF7A79"/>
    <w:rsid w:val="00E01AA5"/>
    <w:rsid w:val="00E95767"/>
    <w:rsid w:val="00F0054F"/>
    <w:rsid w:val="00F07B1E"/>
    <w:rsid w:val="00F33F77"/>
    <w:rsid w:val="00F50B81"/>
    <w:rsid w:val="00F82029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4B377B-3838-482A-9756-E89BA881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AE9"/>
  </w:style>
  <w:style w:type="paragraph" w:styleId="Footer">
    <w:name w:val="footer"/>
    <w:basedOn w:val="Normal"/>
    <w:link w:val="FooterChar"/>
    <w:uiPriority w:val="99"/>
    <w:unhideWhenUsed/>
    <w:rsid w:val="00C0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E9"/>
  </w:style>
  <w:style w:type="table" w:styleId="TableGrid">
    <w:name w:val="Table Grid"/>
    <w:basedOn w:val="TableNormal"/>
    <w:uiPriority w:val="39"/>
    <w:rsid w:val="00C0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F40D49CFA043C3B721316E02B0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DAAE-4F79-4B10-878A-5BE741FB4B45}"/>
      </w:docPartPr>
      <w:docPartBody>
        <w:p w:rsidR="009174D0" w:rsidRDefault="000B02A1" w:rsidP="000B02A1">
          <w:pPr>
            <w:pStyle w:val="3AF40D49CFA043C3B721316E02B075B2"/>
          </w:pPr>
          <w:r w:rsidRPr="00105C43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A1"/>
    <w:rsid w:val="000B02A1"/>
    <w:rsid w:val="00363DB5"/>
    <w:rsid w:val="006C101E"/>
    <w:rsid w:val="009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A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2A1"/>
    <w:rPr>
      <w:color w:val="808080"/>
    </w:rPr>
  </w:style>
  <w:style w:type="paragraph" w:customStyle="1" w:styleId="4C1672D5704045BC91116BB23B7B2473">
    <w:name w:val="4C1672D5704045BC91116BB23B7B2473"/>
    <w:rsid w:val="000B02A1"/>
  </w:style>
  <w:style w:type="paragraph" w:customStyle="1" w:styleId="B3745B7FA050405E836DB3E8A0E7CF48">
    <w:name w:val="B3745B7FA050405E836DB3E8A0E7CF48"/>
    <w:rsid w:val="000B02A1"/>
  </w:style>
  <w:style w:type="paragraph" w:customStyle="1" w:styleId="6E15A4EB1DC544868AF0D60B2CCE65A0">
    <w:name w:val="6E15A4EB1DC544868AF0D60B2CCE65A0"/>
    <w:rsid w:val="000B02A1"/>
  </w:style>
  <w:style w:type="paragraph" w:customStyle="1" w:styleId="3AF40D49CFA043C3B721316E02B075B2">
    <w:name w:val="3AF40D49CFA043C3B721316E02B075B2"/>
    <w:rsid w:val="000B0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J. Parker, Nathan R. Coleman and Olivia M. Bennett</dc:creator>
  <cp:keywords/>
  <dc:description/>
  <cp:lastModifiedBy>Jeyamugan Thiru</cp:lastModifiedBy>
  <cp:revision>32</cp:revision>
  <dcterms:created xsi:type="dcterms:W3CDTF">2025-04-22T05:50:00Z</dcterms:created>
  <dcterms:modified xsi:type="dcterms:W3CDTF">2025-04-22T16:00:00Z</dcterms:modified>
</cp:coreProperties>
</file>